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87" w:rsidRDefault="00303A87" w:rsidP="00303A87">
      <w:pPr>
        <w:pStyle w:val="Default"/>
        <w:rPr>
          <w:sz w:val="28"/>
          <w:szCs w:val="28"/>
        </w:rPr>
      </w:pPr>
      <w:r>
        <w:rPr>
          <w:b/>
          <w:bCs/>
          <w:sz w:val="28"/>
          <w:szCs w:val="28"/>
        </w:rPr>
        <w:t xml:space="preserve">How stakeholders can participate </w:t>
      </w:r>
    </w:p>
    <w:p w:rsidR="00303A87" w:rsidRDefault="00303A87" w:rsidP="00303A87">
      <w:pPr>
        <w:pStyle w:val="Default"/>
        <w:rPr>
          <w:sz w:val="22"/>
          <w:szCs w:val="22"/>
        </w:rPr>
      </w:pPr>
      <w:r>
        <w:rPr>
          <w:sz w:val="22"/>
          <w:szCs w:val="22"/>
        </w:rPr>
        <w:t xml:space="preserve">During this consultation stage, stakeholders can provide feedback in several ways: </w:t>
      </w:r>
    </w:p>
    <w:p w:rsidR="00303A87" w:rsidRDefault="00303A87" w:rsidP="00303A87">
      <w:pPr>
        <w:pStyle w:val="Default"/>
        <w:rPr>
          <w:sz w:val="22"/>
          <w:szCs w:val="22"/>
        </w:rPr>
      </w:pPr>
      <w:r>
        <w:rPr>
          <w:sz w:val="22"/>
          <w:szCs w:val="22"/>
        </w:rPr>
        <w:t xml:space="preserve">1. Completing an online survey </w:t>
      </w:r>
      <w:proofErr w:type="gramStart"/>
      <w:r>
        <w:rPr>
          <w:sz w:val="22"/>
          <w:szCs w:val="22"/>
        </w:rPr>
        <w:t>The</w:t>
      </w:r>
      <w:proofErr w:type="gramEnd"/>
      <w:r>
        <w:rPr>
          <w:sz w:val="22"/>
          <w:szCs w:val="22"/>
        </w:rPr>
        <w:t xml:space="preserve"> questions in this consultation paper are reproduced in an online survey, accessible via </w:t>
      </w:r>
      <w:proofErr w:type="spellStart"/>
      <w:r>
        <w:rPr>
          <w:sz w:val="22"/>
          <w:szCs w:val="22"/>
        </w:rPr>
        <w:t>SurveyMonkey</w:t>
      </w:r>
      <w:proofErr w:type="spellEnd"/>
      <w:r>
        <w:rPr>
          <w:sz w:val="22"/>
          <w:szCs w:val="22"/>
        </w:rPr>
        <w:t xml:space="preserve"> </w:t>
      </w:r>
    </w:p>
    <w:p w:rsidR="00303A87" w:rsidRDefault="00303A87" w:rsidP="00303A87">
      <w:pPr>
        <w:pStyle w:val="Default"/>
        <w:rPr>
          <w:sz w:val="22"/>
          <w:szCs w:val="22"/>
        </w:rPr>
      </w:pPr>
    </w:p>
    <w:p w:rsidR="00303A87" w:rsidRDefault="00303A87" w:rsidP="00303A87">
      <w:pPr>
        <w:pStyle w:val="Default"/>
        <w:rPr>
          <w:sz w:val="22"/>
          <w:szCs w:val="22"/>
        </w:rPr>
      </w:pPr>
      <w:r>
        <w:rPr>
          <w:sz w:val="22"/>
          <w:szCs w:val="22"/>
        </w:rPr>
        <w:t xml:space="preserve">2. Preparing a written submission Written submissions must include the stakeholder’s name and contact details (phone number, email and address). They </w:t>
      </w:r>
      <w:proofErr w:type="gramStart"/>
      <w:r>
        <w:rPr>
          <w:sz w:val="22"/>
          <w:szCs w:val="22"/>
        </w:rPr>
        <w:t>can be emailed</w:t>
      </w:r>
      <w:proofErr w:type="gramEnd"/>
      <w:r>
        <w:rPr>
          <w:sz w:val="22"/>
          <w:szCs w:val="22"/>
        </w:rPr>
        <w:t xml:space="preserve"> to ANMAC: standardsreview@anmac.org.au or posted to: </w:t>
      </w:r>
    </w:p>
    <w:p w:rsidR="00303A87" w:rsidRDefault="00303A87" w:rsidP="00303A87">
      <w:pPr>
        <w:pStyle w:val="Default"/>
        <w:rPr>
          <w:sz w:val="22"/>
          <w:szCs w:val="22"/>
        </w:rPr>
      </w:pPr>
    </w:p>
    <w:p w:rsidR="00303A87" w:rsidRDefault="00303A87" w:rsidP="00303A87">
      <w:pPr>
        <w:pStyle w:val="Default"/>
        <w:rPr>
          <w:sz w:val="22"/>
          <w:szCs w:val="22"/>
        </w:rPr>
      </w:pPr>
      <w:r>
        <w:rPr>
          <w:sz w:val="22"/>
          <w:szCs w:val="22"/>
        </w:rPr>
        <w:t xml:space="preserve">Standards Review Australian Nursing and Midwifery Accreditation Council GPO Box 400 Canberra City ACT 2601 </w:t>
      </w:r>
    </w:p>
    <w:p w:rsidR="00303A87" w:rsidRDefault="00303A87" w:rsidP="00303A87">
      <w:pPr>
        <w:pStyle w:val="Default"/>
        <w:rPr>
          <w:sz w:val="22"/>
          <w:szCs w:val="22"/>
        </w:rPr>
      </w:pPr>
      <w:r>
        <w:rPr>
          <w:sz w:val="22"/>
          <w:szCs w:val="22"/>
        </w:rPr>
        <w:t xml:space="preserve">3. Attending a consultation forum in person </w:t>
      </w:r>
    </w:p>
    <w:p w:rsidR="00303A87" w:rsidRDefault="00303A87" w:rsidP="00303A87">
      <w:pPr>
        <w:pStyle w:val="Default"/>
        <w:rPr>
          <w:sz w:val="22"/>
          <w:szCs w:val="22"/>
        </w:rPr>
      </w:pPr>
    </w:p>
    <w:p w:rsidR="00303A87" w:rsidRDefault="00303A87" w:rsidP="00303A87">
      <w:pPr>
        <w:pStyle w:val="Default"/>
        <w:rPr>
          <w:sz w:val="22"/>
          <w:szCs w:val="22"/>
        </w:rPr>
      </w:pPr>
      <w:r>
        <w:rPr>
          <w:sz w:val="22"/>
          <w:szCs w:val="22"/>
        </w:rPr>
        <w:t xml:space="preserve">10am-3pm, Tuesday, 24 July 2018 </w:t>
      </w:r>
    </w:p>
    <w:p w:rsidR="00303A87" w:rsidRDefault="00303A87" w:rsidP="00303A87">
      <w:pPr>
        <w:pStyle w:val="Default"/>
        <w:rPr>
          <w:sz w:val="22"/>
          <w:szCs w:val="22"/>
        </w:rPr>
      </w:pPr>
      <w:r>
        <w:rPr>
          <w:sz w:val="22"/>
          <w:szCs w:val="22"/>
        </w:rPr>
        <w:t xml:space="preserve">Holiday Inn Melbourne Airport </w:t>
      </w:r>
    </w:p>
    <w:p w:rsidR="00303A87" w:rsidRDefault="00303A87" w:rsidP="00303A87">
      <w:pPr>
        <w:pStyle w:val="Default"/>
        <w:rPr>
          <w:b/>
          <w:bCs/>
          <w:sz w:val="36"/>
          <w:szCs w:val="36"/>
        </w:rPr>
      </w:pPr>
      <w:r>
        <w:rPr>
          <w:sz w:val="22"/>
          <w:szCs w:val="22"/>
        </w:rPr>
        <w:t>RSVP: standardsreview@anmac.org.au</w:t>
      </w:r>
    </w:p>
    <w:p w:rsidR="00303A87" w:rsidRDefault="00303A87" w:rsidP="004B47A4">
      <w:pPr>
        <w:pStyle w:val="Default"/>
        <w:rPr>
          <w:b/>
          <w:bCs/>
          <w:sz w:val="36"/>
          <w:szCs w:val="36"/>
        </w:rPr>
      </w:pPr>
    </w:p>
    <w:p w:rsidR="004B47A4" w:rsidRDefault="004B47A4" w:rsidP="004B47A4">
      <w:pPr>
        <w:pStyle w:val="Default"/>
        <w:rPr>
          <w:sz w:val="36"/>
          <w:szCs w:val="36"/>
        </w:rPr>
      </w:pPr>
      <w:r>
        <w:rPr>
          <w:b/>
          <w:bCs/>
          <w:sz w:val="36"/>
          <w:szCs w:val="36"/>
        </w:rPr>
        <w:t xml:space="preserve">Consultation questions </w:t>
      </w:r>
    </w:p>
    <w:p w:rsidR="004B47A4" w:rsidRDefault="004B47A4" w:rsidP="004B47A4">
      <w:pPr>
        <w:pStyle w:val="Default"/>
        <w:rPr>
          <w:b/>
          <w:bCs/>
          <w:sz w:val="28"/>
          <w:szCs w:val="28"/>
        </w:rPr>
      </w:pPr>
      <w:r>
        <w:rPr>
          <w:b/>
          <w:bCs/>
          <w:sz w:val="28"/>
          <w:szCs w:val="28"/>
        </w:rPr>
        <w:t xml:space="preserve">Accreditation Standards Framework – moving to five standards </w:t>
      </w:r>
    </w:p>
    <w:p w:rsidR="00303A87" w:rsidRDefault="00303A87" w:rsidP="00303A87">
      <w:pPr>
        <w:pStyle w:val="Default"/>
        <w:rPr>
          <w:sz w:val="22"/>
          <w:szCs w:val="22"/>
        </w:rPr>
      </w:pPr>
      <w:r>
        <w:rPr>
          <w:sz w:val="22"/>
          <w:szCs w:val="22"/>
        </w:rPr>
        <w:t xml:space="preserve">1. Safety of the public </w:t>
      </w:r>
    </w:p>
    <w:p w:rsidR="00303A87" w:rsidRDefault="00303A87" w:rsidP="00303A87">
      <w:pPr>
        <w:pStyle w:val="Default"/>
        <w:rPr>
          <w:sz w:val="22"/>
          <w:szCs w:val="22"/>
        </w:rPr>
      </w:pPr>
      <w:r>
        <w:rPr>
          <w:sz w:val="22"/>
          <w:szCs w:val="22"/>
        </w:rPr>
        <w:t xml:space="preserve">2. Governance </w:t>
      </w:r>
    </w:p>
    <w:p w:rsidR="00303A87" w:rsidRDefault="00303A87" w:rsidP="00303A87">
      <w:pPr>
        <w:pStyle w:val="Default"/>
        <w:rPr>
          <w:sz w:val="22"/>
          <w:szCs w:val="22"/>
        </w:rPr>
      </w:pPr>
      <w:r>
        <w:rPr>
          <w:sz w:val="22"/>
          <w:szCs w:val="22"/>
        </w:rPr>
        <w:t xml:space="preserve">3. Program of study </w:t>
      </w:r>
    </w:p>
    <w:p w:rsidR="00303A87" w:rsidRDefault="00303A87" w:rsidP="00303A87">
      <w:pPr>
        <w:pStyle w:val="Default"/>
        <w:rPr>
          <w:sz w:val="22"/>
          <w:szCs w:val="22"/>
        </w:rPr>
      </w:pPr>
      <w:r>
        <w:rPr>
          <w:sz w:val="22"/>
          <w:szCs w:val="22"/>
        </w:rPr>
        <w:t xml:space="preserve">4. Student experience </w:t>
      </w:r>
    </w:p>
    <w:p w:rsidR="00303A87" w:rsidRDefault="00303A87" w:rsidP="00303A87">
      <w:pPr>
        <w:pStyle w:val="Default"/>
        <w:rPr>
          <w:i/>
          <w:color w:val="70AD47" w:themeColor="accent6"/>
          <w:sz w:val="22"/>
          <w:szCs w:val="22"/>
        </w:rPr>
      </w:pPr>
      <w:r>
        <w:rPr>
          <w:sz w:val="22"/>
          <w:szCs w:val="22"/>
        </w:rPr>
        <w:t>5. Student assessment</w:t>
      </w:r>
    </w:p>
    <w:p w:rsidR="00303A87" w:rsidRDefault="00303A87" w:rsidP="004B47A4">
      <w:pPr>
        <w:pStyle w:val="Default"/>
        <w:rPr>
          <w:i/>
          <w:color w:val="70AD47" w:themeColor="accent6"/>
          <w:sz w:val="22"/>
          <w:szCs w:val="22"/>
        </w:rPr>
      </w:pPr>
    </w:p>
    <w:p w:rsidR="00303A87" w:rsidRDefault="00303A87" w:rsidP="004B47A4">
      <w:pPr>
        <w:pStyle w:val="Default"/>
        <w:rPr>
          <w:i/>
          <w:color w:val="70AD47" w:themeColor="accent6"/>
          <w:sz w:val="22"/>
          <w:szCs w:val="22"/>
        </w:rPr>
      </w:pPr>
    </w:p>
    <w:p w:rsidR="004B47A4" w:rsidRDefault="004B47A4" w:rsidP="004B47A4">
      <w:pPr>
        <w:pStyle w:val="Default"/>
        <w:rPr>
          <w:sz w:val="22"/>
          <w:szCs w:val="22"/>
        </w:rPr>
      </w:pPr>
      <w:r>
        <w:rPr>
          <w:b/>
          <w:bCs/>
          <w:sz w:val="22"/>
          <w:szCs w:val="22"/>
        </w:rPr>
        <w:t xml:space="preserve">Question 1 </w:t>
      </w:r>
    </w:p>
    <w:p w:rsidR="00273A00" w:rsidRDefault="004B47A4" w:rsidP="004B47A4">
      <w:pPr>
        <w:pStyle w:val="Default"/>
        <w:rPr>
          <w:sz w:val="22"/>
          <w:szCs w:val="22"/>
        </w:rPr>
      </w:pPr>
      <w:r>
        <w:rPr>
          <w:sz w:val="22"/>
          <w:szCs w:val="22"/>
        </w:rPr>
        <w:t xml:space="preserve">Do the draft accreditation standards cover the required knowledge, skills and attitudes to ensure that the new graduate meets the Registered Nurse Standards for Practice (Nursing and Midwifery Board of Australia, 2016)? </w:t>
      </w:r>
    </w:p>
    <w:p w:rsidR="004B47A4" w:rsidRDefault="004B47A4" w:rsidP="004B47A4">
      <w:pPr>
        <w:pStyle w:val="Default"/>
        <w:rPr>
          <w:sz w:val="22"/>
          <w:szCs w:val="22"/>
        </w:rPr>
      </w:pPr>
      <w:r>
        <w:rPr>
          <w:sz w:val="22"/>
          <w:szCs w:val="22"/>
        </w:rPr>
        <w:t xml:space="preserve">Please provide an explanation for your answer. </w:t>
      </w:r>
    </w:p>
    <w:p w:rsidR="005A10BF" w:rsidRPr="002E5648" w:rsidRDefault="00C868F3" w:rsidP="005A10BF">
      <w:pPr>
        <w:pStyle w:val="Default"/>
        <w:rPr>
          <w:i/>
          <w:color w:val="0070C0"/>
          <w:sz w:val="22"/>
          <w:szCs w:val="22"/>
        </w:rPr>
      </w:pPr>
      <w:r w:rsidRPr="002E5648">
        <w:rPr>
          <w:i/>
          <w:color w:val="0070C0"/>
          <w:sz w:val="22"/>
          <w:szCs w:val="22"/>
        </w:rPr>
        <w:t>Yes</w:t>
      </w:r>
      <w:r w:rsidR="00FF5BC8" w:rsidRPr="002E5648">
        <w:rPr>
          <w:i/>
          <w:color w:val="0070C0"/>
          <w:sz w:val="22"/>
          <w:szCs w:val="22"/>
        </w:rPr>
        <w:t>,</w:t>
      </w:r>
      <w:r w:rsidRPr="002E5648">
        <w:rPr>
          <w:i/>
          <w:color w:val="0070C0"/>
          <w:sz w:val="22"/>
          <w:szCs w:val="22"/>
        </w:rPr>
        <w:t xml:space="preserve"> </w:t>
      </w:r>
      <w:r w:rsidR="005A10BF" w:rsidRPr="002E5648">
        <w:rPr>
          <w:i/>
          <w:color w:val="0070C0"/>
          <w:sz w:val="22"/>
          <w:szCs w:val="22"/>
        </w:rPr>
        <w:t>we support consolidation of the standards from nine to five</w:t>
      </w:r>
      <w:r w:rsidR="002E5648">
        <w:rPr>
          <w:i/>
          <w:color w:val="0070C0"/>
          <w:sz w:val="22"/>
          <w:szCs w:val="22"/>
        </w:rPr>
        <w:t>.</w:t>
      </w:r>
      <w:r w:rsidR="005A10BF" w:rsidRPr="002E5648">
        <w:rPr>
          <w:i/>
          <w:color w:val="0070C0"/>
          <w:sz w:val="22"/>
          <w:szCs w:val="22"/>
        </w:rPr>
        <w:t xml:space="preserve"> </w:t>
      </w:r>
    </w:p>
    <w:p w:rsidR="00FF5BC8" w:rsidRPr="002E5648" w:rsidRDefault="005A10BF" w:rsidP="005A10BF">
      <w:pPr>
        <w:pStyle w:val="Default"/>
        <w:rPr>
          <w:i/>
          <w:color w:val="0070C0"/>
          <w:sz w:val="22"/>
          <w:szCs w:val="22"/>
        </w:rPr>
      </w:pPr>
      <w:r w:rsidRPr="002E5648">
        <w:rPr>
          <w:i/>
          <w:color w:val="0070C0"/>
          <w:sz w:val="22"/>
          <w:szCs w:val="22"/>
        </w:rPr>
        <w:t>Review of Registered Nurse (RN) Accreditation Standards Consultation paper 2, Page 10 indicates the standards are expressed as statements and each supported by a set of criteria however, the standards are presented only as a heading.</w:t>
      </w:r>
    </w:p>
    <w:p w:rsidR="005A10BF" w:rsidRPr="002E5648" w:rsidRDefault="005A10BF" w:rsidP="005A10BF">
      <w:pPr>
        <w:pStyle w:val="Default"/>
        <w:rPr>
          <w:i/>
          <w:color w:val="0070C0"/>
          <w:sz w:val="22"/>
          <w:szCs w:val="22"/>
        </w:rPr>
      </w:pPr>
      <w:r w:rsidRPr="002E5648">
        <w:rPr>
          <w:i/>
          <w:color w:val="0070C0"/>
          <w:sz w:val="22"/>
          <w:szCs w:val="22"/>
        </w:rPr>
        <w:t xml:space="preserve"> It is suggested </w:t>
      </w:r>
      <w:r w:rsidR="00FF5BC8" w:rsidRPr="002E5648">
        <w:rPr>
          <w:i/>
          <w:color w:val="0070C0"/>
          <w:sz w:val="22"/>
          <w:szCs w:val="22"/>
        </w:rPr>
        <w:t>the inclusion of a</w:t>
      </w:r>
      <w:r w:rsidRPr="002E5648">
        <w:rPr>
          <w:i/>
          <w:color w:val="0070C0"/>
          <w:sz w:val="22"/>
          <w:szCs w:val="22"/>
        </w:rPr>
        <w:t xml:space="preserve"> stem for each standard that describes the domain and provides a link to the criteria for meeting the standard.</w:t>
      </w:r>
    </w:p>
    <w:p w:rsidR="00C868F3" w:rsidRDefault="00C868F3" w:rsidP="004B47A4">
      <w:pPr>
        <w:pStyle w:val="Default"/>
        <w:rPr>
          <w:b/>
          <w:bCs/>
          <w:sz w:val="22"/>
          <w:szCs w:val="22"/>
        </w:rPr>
      </w:pPr>
    </w:p>
    <w:p w:rsidR="004B47A4" w:rsidRDefault="004B47A4" w:rsidP="004B47A4">
      <w:pPr>
        <w:pStyle w:val="Default"/>
        <w:rPr>
          <w:sz w:val="22"/>
          <w:szCs w:val="22"/>
        </w:rPr>
      </w:pPr>
      <w:r>
        <w:rPr>
          <w:b/>
          <w:bCs/>
          <w:sz w:val="22"/>
          <w:szCs w:val="22"/>
        </w:rPr>
        <w:t xml:space="preserve">Question 2 </w:t>
      </w:r>
    </w:p>
    <w:p w:rsidR="004B47A4" w:rsidRDefault="004B47A4" w:rsidP="004B47A4">
      <w:pPr>
        <w:pStyle w:val="Default"/>
        <w:rPr>
          <w:sz w:val="22"/>
          <w:szCs w:val="22"/>
        </w:rPr>
      </w:pPr>
      <w:r>
        <w:rPr>
          <w:sz w:val="22"/>
          <w:szCs w:val="22"/>
        </w:rPr>
        <w:t xml:space="preserve">Are there any additional criteria that should be included? </w:t>
      </w:r>
    </w:p>
    <w:p w:rsidR="00FD5708" w:rsidRPr="002E5648" w:rsidRDefault="00FD5708" w:rsidP="004B47A4">
      <w:pPr>
        <w:pStyle w:val="Default"/>
        <w:rPr>
          <w:i/>
          <w:color w:val="0070C0"/>
          <w:sz w:val="22"/>
          <w:szCs w:val="22"/>
        </w:rPr>
      </w:pPr>
      <w:r w:rsidRPr="002E5648">
        <w:rPr>
          <w:i/>
          <w:color w:val="0070C0"/>
          <w:sz w:val="22"/>
          <w:szCs w:val="22"/>
        </w:rPr>
        <w:t>No.</w:t>
      </w:r>
    </w:p>
    <w:p w:rsidR="00795EBE" w:rsidRDefault="00795EBE" w:rsidP="004B47A4">
      <w:pPr>
        <w:pStyle w:val="Default"/>
        <w:rPr>
          <w:b/>
          <w:bCs/>
          <w:sz w:val="22"/>
          <w:szCs w:val="22"/>
        </w:rPr>
      </w:pPr>
    </w:p>
    <w:p w:rsidR="00795EBE" w:rsidRDefault="00795EBE" w:rsidP="004B47A4">
      <w:pPr>
        <w:pStyle w:val="Default"/>
        <w:rPr>
          <w:b/>
          <w:bCs/>
          <w:sz w:val="22"/>
          <w:szCs w:val="22"/>
        </w:rPr>
      </w:pPr>
    </w:p>
    <w:p w:rsidR="00C868F3" w:rsidRDefault="004B47A4" w:rsidP="00C868F3">
      <w:pPr>
        <w:pStyle w:val="Default"/>
        <w:rPr>
          <w:i/>
          <w:color w:val="70AD47" w:themeColor="accent6"/>
          <w:sz w:val="22"/>
          <w:szCs w:val="22"/>
        </w:rPr>
      </w:pPr>
      <w:r>
        <w:rPr>
          <w:b/>
          <w:bCs/>
          <w:sz w:val="22"/>
          <w:szCs w:val="22"/>
        </w:rPr>
        <w:t xml:space="preserve">Question 3 </w:t>
      </w:r>
    </w:p>
    <w:p w:rsidR="004B47A4" w:rsidRDefault="004B47A4" w:rsidP="004B47A4">
      <w:pPr>
        <w:pStyle w:val="Default"/>
        <w:rPr>
          <w:sz w:val="22"/>
          <w:szCs w:val="22"/>
        </w:rPr>
      </w:pPr>
    </w:p>
    <w:p w:rsidR="004B47A4" w:rsidRDefault="004B47A4" w:rsidP="004B47A4">
      <w:pPr>
        <w:pStyle w:val="Default"/>
        <w:rPr>
          <w:sz w:val="22"/>
          <w:szCs w:val="22"/>
        </w:rPr>
      </w:pPr>
      <w:r>
        <w:rPr>
          <w:sz w:val="22"/>
          <w:szCs w:val="22"/>
        </w:rPr>
        <w:t xml:space="preserve">Are there any criteria that could be deleted or amalgamated with </w:t>
      </w:r>
      <w:proofErr w:type="gramStart"/>
      <w:r>
        <w:rPr>
          <w:sz w:val="22"/>
          <w:szCs w:val="22"/>
        </w:rPr>
        <w:t>another criteria</w:t>
      </w:r>
      <w:proofErr w:type="gramEnd"/>
      <w:r>
        <w:rPr>
          <w:sz w:val="22"/>
          <w:szCs w:val="22"/>
        </w:rPr>
        <w:t xml:space="preserve">? </w:t>
      </w:r>
    </w:p>
    <w:p w:rsidR="00FF5BC8" w:rsidRPr="002E5648" w:rsidRDefault="00FF5BC8" w:rsidP="00FF5BC8">
      <w:pPr>
        <w:pStyle w:val="Default"/>
        <w:rPr>
          <w:i/>
          <w:color w:val="0070C0"/>
          <w:sz w:val="22"/>
          <w:szCs w:val="22"/>
        </w:rPr>
      </w:pPr>
      <w:r w:rsidRPr="002E5648">
        <w:rPr>
          <w:i/>
          <w:color w:val="0070C0"/>
          <w:sz w:val="22"/>
          <w:szCs w:val="22"/>
        </w:rPr>
        <w:t>Yes, recommend consider including Student Assessment standard as part of the Program of Study Standard</w:t>
      </w:r>
      <w:r w:rsidR="002E5648">
        <w:rPr>
          <w:i/>
          <w:color w:val="0070C0"/>
          <w:sz w:val="22"/>
          <w:szCs w:val="22"/>
        </w:rPr>
        <w:t>.</w:t>
      </w:r>
    </w:p>
    <w:p w:rsidR="00FD5708" w:rsidRPr="00FD5708" w:rsidRDefault="00FD5708" w:rsidP="004B47A4">
      <w:pPr>
        <w:pStyle w:val="Default"/>
        <w:rPr>
          <w:i/>
          <w:color w:val="70AD47" w:themeColor="accent6"/>
          <w:sz w:val="22"/>
          <w:szCs w:val="22"/>
        </w:rPr>
      </w:pPr>
    </w:p>
    <w:p w:rsidR="00C868F3" w:rsidRDefault="00C868F3" w:rsidP="004B47A4">
      <w:pPr>
        <w:pStyle w:val="Default"/>
        <w:rPr>
          <w:b/>
          <w:bCs/>
          <w:sz w:val="22"/>
          <w:szCs w:val="22"/>
        </w:rPr>
      </w:pPr>
    </w:p>
    <w:p w:rsidR="004B47A4" w:rsidRDefault="004B47A4" w:rsidP="004B47A4">
      <w:pPr>
        <w:pStyle w:val="Default"/>
        <w:rPr>
          <w:sz w:val="22"/>
          <w:szCs w:val="22"/>
        </w:rPr>
      </w:pPr>
      <w:r>
        <w:rPr>
          <w:b/>
          <w:bCs/>
          <w:sz w:val="22"/>
          <w:szCs w:val="22"/>
        </w:rPr>
        <w:lastRenderedPageBreak/>
        <w:t xml:space="preserve">Question 4 </w:t>
      </w:r>
    </w:p>
    <w:p w:rsidR="004B47A4" w:rsidRDefault="004B47A4" w:rsidP="004B47A4">
      <w:pPr>
        <w:pStyle w:val="Default"/>
        <w:rPr>
          <w:sz w:val="22"/>
          <w:szCs w:val="22"/>
        </w:rPr>
      </w:pPr>
      <w:r>
        <w:rPr>
          <w:sz w:val="22"/>
          <w:szCs w:val="22"/>
        </w:rPr>
        <w:t xml:space="preserve">Does the draft structure reduce duplication within the standards? If not, which areas of duplication still exist? </w:t>
      </w:r>
    </w:p>
    <w:p w:rsidR="00FD5708" w:rsidRPr="002E5648" w:rsidRDefault="00FD5708" w:rsidP="004B47A4">
      <w:pPr>
        <w:pStyle w:val="Default"/>
        <w:rPr>
          <w:i/>
          <w:color w:val="0070C0"/>
          <w:sz w:val="22"/>
          <w:szCs w:val="22"/>
        </w:rPr>
      </w:pPr>
      <w:r w:rsidRPr="002E5648">
        <w:rPr>
          <w:i/>
          <w:color w:val="0070C0"/>
          <w:sz w:val="22"/>
          <w:szCs w:val="22"/>
        </w:rPr>
        <w:t xml:space="preserve">Agree that the duplication of the existing </w:t>
      </w:r>
      <w:proofErr w:type="gramStart"/>
      <w:r w:rsidRPr="002E5648">
        <w:rPr>
          <w:i/>
          <w:color w:val="0070C0"/>
          <w:sz w:val="22"/>
          <w:szCs w:val="22"/>
        </w:rPr>
        <w:t>standard’s</w:t>
      </w:r>
      <w:proofErr w:type="gramEnd"/>
      <w:r w:rsidRPr="002E5648">
        <w:rPr>
          <w:i/>
          <w:color w:val="0070C0"/>
          <w:sz w:val="22"/>
          <w:szCs w:val="22"/>
        </w:rPr>
        <w:t xml:space="preserve"> has been removed</w:t>
      </w:r>
      <w:r w:rsidR="00C868F3" w:rsidRPr="002E5648">
        <w:rPr>
          <w:i/>
          <w:color w:val="0070C0"/>
          <w:sz w:val="22"/>
          <w:szCs w:val="22"/>
        </w:rPr>
        <w:t xml:space="preserve"> in the draft standards.</w:t>
      </w:r>
    </w:p>
    <w:p w:rsidR="00FD5708" w:rsidRDefault="00FD5708" w:rsidP="004B47A4">
      <w:pPr>
        <w:pStyle w:val="Default"/>
        <w:rPr>
          <w:b/>
          <w:bCs/>
          <w:sz w:val="22"/>
          <w:szCs w:val="22"/>
        </w:rPr>
      </w:pPr>
    </w:p>
    <w:p w:rsidR="004B47A4" w:rsidRDefault="004B47A4" w:rsidP="004B47A4">
      <w:pPr>
        <w:pStyle w:val="Default"/>
        <w:rPr>
          <w:sz w:val="22"/>
          <w:szCs w:val="22"/>
        </w:rPr>
      </w:pPr>
      <w:r>
        <w:rPr>
          <w:b/>
          <w:bCs/>
          <w:sz w:val="22"/>
          <w:szCs w:val="22"/>
        </w:rPr>
        <w:t xml:space="preserve">Question 5 </w:t>
      </w:r>
    </w:p>
    <w:p w:rsidR="00045F97" w:rsidRDefault="004B47A4" w:rsidP="004B47A4">
      <w:pPr>
        <w:pStyle w:val="Default"/>
        <w:rPr>
          <w:b/>
          <w:bCs/>
          <w:sz w:val="16"/>
          <w:szCs w:val="16"/>
        </w:rPr>
      </w:pPr>
      <w:r>
        <w:rPr>
          <w:sz w:val="22"/>
          <w:szCs w:val="22"/>
        </w:rPr>
        <w:t xml:space="preserve">Please provide any other feedback about the structure and/or content of the draft standards. </w:t>
      </w:r>
    </w:p>
    <w:p w:rsidR="00045F97" w:rsidRPr="002E5648" w:rsidRDefault="00045F97" w:rsidP="00045F97">
      <w:pPr>
        <w:pStyle w:val="Default"/>
        <w:rPr>
          <w:b/>
          <w:i/>
          <w:color w:val="0070C0"/>
          <w:sz w:val="22"/>
          <w:szCs w:val="22"/>
        </w:rPr>
      </w:pPr>
      <w:r w:rsidRPr="002E5648">
        <w:rPr>
          <w:b/>
          <w:i/>
          <w:color w:val="0070C0"/>
          <w:sz w:val="22"/>
          <w:szCs w:val="22"/>
        </w:rPr>
        <w:t xml:space="preserve">Standard </w:t>
      </w:r>
      <w:proofErr w:type="gramStart"/>
      <w:r w:rsidRPr="002E5648">
        <w:rPr>
          <w:b/>
          <w:i/>
          <w:color w:val="0070C0"/>
          <w:sz w:val="22"/>
          <w:szCs w:val="22"/>
        </w:rPr>
        <w:t>1</w:t>
      </w:r>
      <w:proofErr w:type="gramEnd"/>
      <w:r w:rsidR="00FD5708" w:rsidRPr="002E5648">
        <w:rPr>
          <w:b/>
          <w:i/>
          <w:color w:val="0070C0"/>
          <w:sz w:val="22"/>
          <w:szCs w:val="22"/>
        </w:rPr>
        <w:t xml:space="preserve"> Public Safety </w:t>
      </w:r>
    </w:p>
    <w:p w:rsidR="00045F97" w:rsidRPr="002E5648" w:rsidRDefault="009B450F" w:rsidP="00045F97">
      <w:pPr>
        <w:pStyle w:val="Default"/>
        <w:rPr>
          <w:i/>
          <w:color w:val="0070C0"/>
          <w:sz w:val="22"/>
          <w:szCs w:val="22"/>
        </w:rPr>
      </w:pPr>
      <w:r w:rsidRPr="002E5648">
        <w:rPr>
          <w:i/>
          <w:color w:val="0070C0"/>
          <w:sz w:val="22"/>
          <w:szCs w:val="22"/>
        </w:rPr>
        <w:t xml:space="preserve">Require clarification whether this statement results in the </w:t>
      </w:r>
      <w:r w:rsidR="00045F97" w:rsidRPr="002E5648">
        <w:rPr>
          <w:i/>
          <w:color w:val="0070C0"/>
          <w:sz w:val="22"/>
          <w:szCs w:val="22"/>
        </w:rPr>
        <w:t xml:space="preserve">replacement for the registered nurse or </w:t>
      </w:r>
      <w:r w:rsidRPr="002E5648">
        <w:rPr>
          <w:i/>
          <w:color w:val="0070C0"/>
          <w:sz w:val="22"/>
          <w:szCs w:val="22"/>
        </w:rPr>
        <w:t xml:space="preserve">is </w:t>
      </w:r>
      <w:r w:rsidR="00045F97" w:rsidRPr="002E5648">
        <w:rPr>
          <w:i/>
          <w:color w:val="0070C0"/>
          <w:sz w:val="22"/>
          <w:szCs w:val="22"/>
        </w:rPr>
        <w:t>in combination with the RN.</w:t>
      </w:r>
    </w:p>
    <w:p w:rsidR="00E4528A" w:rsidRPr="002E5648" w:rsidRDefault="00E4528A" w:rsidP="00E4528A">
      <w:pPr>
        <w:pStyle w:val="Default"/>
        <w:ind w:firstLine="720"/>
        <w:rPr>
          <w:i/>
          <w:color w:val="0070C0"/>
          <w:sz w:val="22"/>
          <w:szCs w:val="22"/>
        </w:rPr>
      </w:pPr>
      <w:r w:rsidRPr="002E5648">
        <w:rPr>
          <w:i/>
          <w:color w:val="0070C0"/>
          <w:sz w:val="22"/>
          <w:szCs w:val="22"/>
        </w:rPr>
        <w:t>1.1 Suggest change Protection to Safety for consistency</w:t>
      </w:r>
    </w:p>
    <w:p w:rsidR="00C868F3" w:rsidRPr="002E5648" w:rsidRDefault="00C868F3" w:rsidP="00C868F3">
      <w:pPr>
        <w:pStyle w:val="Default"/>
        <w:ind w:left="720"/>
        <w:rPr>
          <w:i/>
          <w:color w:val="0070C0"/>
          <w:sz w:val="22"/>
          <w:szCs w:val="22"/>
        </w:rPr>
      </w:pPr>
      <w:r w:rsidRPr="002E5648">
        <w:rPr>
          <w:i/>
          <w:color w:val="0070C0"/>
          <w:sz w:val="22"/>
          <w:szCs w:val="22"/>
        </w:rPr>
        <w:t xml:space="preserve">1.2 Clarify </w:t>
      </w:r>
      <w:proofErr w:type="gramStart"/>
      <w:r w:rsidRPr="002E5648">
        <w:rPr>
          <w:i/>
          <w:color w:val="0070C0"/>
          <w:sz w:val="22"/>
          <w:szCs w:val="22"/>
        </w:rPr>
        <w:t>who</w:t>
      </w:r>
      <w:proofErr w:type="gramEnd"/>
      <w:r w:rsidRPr="002E5648">
        <w:rPr>
          <w:i/>
          <w:color w:val="0070C0"/>
          <w:sz w:val="22"/>
          <w:szCs w:val="22"/>
        </w:rPr>
        <w:t xml:space="preserve"> the consent is provided to, health service, education provider and /or student</w:t>
      </w:r>
    </w:p>
    <w:p w:rsidR="00C868F3" w:rsidRPr="002E5648" w:rsidRDefault="00C868F3" w:rsidP="00C868F3">
      <w:pPr>
        <w:pStyle w:val="Default"/>
        <w:ind w:left="720"/>
        <w:rPr>
          <w:i/>
          <w:color w:val="0070C0"/>
          <w:sz w:val="22"/>
          <w:szCs w:val="22"/>
        </w:rPr>
      </w:pPr>
      <w:r w:rsidRPr="002E5648">
        <w:rPr>
          <w:i/>
          <w:color w:val="0070C0"/>
          <w:sz w:val="22"/>
          <w:szCs w:val="22"/>
        </w:rPr>
        <w:t>1.4 Should it include standards of practice, codes of</w:t>
      </w:r>
      <w:r w:rsidR="002E5648">
        <w:rPr>
          <w:i/>
          <w:color w:val="0070C0"/>
          <w:sz w:val="22"/>
          <w:szCs w:val="22"/>
        </w:rPr>
        <w:t xml:space="preserve"> conduct and ethics for </w:t>
      </w:r>
      <w:proofErr w:type="gramStart"/>
      <w:r w:rsidR="002E5648">
        <w:rPr>
          <w:i/>
          <w:color w:val="0070C0"/>
          <w:sz w:val="22"/>
          <w:szCs w:val="22"/>
        </w:rPr>
        <w:t>nursing</w:t>
      </w:r>
      <w:proofErr w:type="gramEnd"/>
    </w:p>
    <w:p w:rsidR="00C868F3" w:rsidRPr="002E5648" w:rsidRDefault="00C868F3" w:rsidP="00C868F3">
      <w:pPr>
        <w:pStyle w:val="Default"/>
        <w:ind w:left="720"/>
        <w:rPr>
          <w:i/>
          <w:color w:val="0070C0"/>
          <w:sz w:val="22"/>
          <w:szCs w:val="22"/>
        </w:rPr>
      </w:pPr>
      <w:r w:rsidRPr="002E5648">
        <w:rPr>
          <w:i/>
          <w:color w:val="0070C0"/>
          <w:sz w:val="22"/>
          <w:szCs w:val="22"/>
        </w:rPr>
        <w:t xml:space="preserve">1.6 (a)” in collaboration with other registered relevant health professionals” </w:t>
      </w:r>
    </w:p>
    <w:p w:rsidR="00045F97" w:rsidRPr="002E5648" w:rsidRDefault="009B450F" w:rsidP="00C868F3">
      <w:pPr>
        <w:pStyle w:val="Default"/>
        <w:ind w:left="720"/>
        <w:rPr>
          <w:i/>
          <w:color w:val="0070C0"/>
          <w:sz w:val="22"/>
          <w:szCs w:val="22"/>
        </w:rPr>
      </w:pPr>
      <w:r w:rsidRPr="002E5648">
        <w:rPr>
          <w:i/>
          <w:color w:val="0070C0"/>
          <w:sz w:val="22"/>
          <w:szCs w:val="22"/>
        </w:rPr>
        <w:t>1.8 H</w:t>
      </w:r>
      <w:r w:rsidR="00045F97" w:rsidRPr="002E5648">
        <w:rPr>
          <w:i/>
          <w:color w:val="0070C0"/>
          <w:sz w:val="22"/>
          <w:szCs w:val="22"/>
        </w:rPr>
        <w:t xml:space="preserve">ow </w:t>
      </w:r>
      <w:proofErr w:type="gramStart"/>
      <w:r w:rsidRPr="002E5648">
        <w:rPr>
          <w:i/>
          <w:color w:val="0070C0"/>
          <w:sz w:val="22"/>
          <w:szCs w:val="22"/>
        </w:rPr>
        <w:t>can</w:t>
      </w:r>
      <w:r w:rsidR="00045F97" w:rsidRPr="002E5648">
        <w:rPr>
          <w:i/>
          <w:color w:val="0070C0"/>
          <w:sz w:val="22"/>
          <w:szCs w:val="22"/>
        </w:rPr>
        <w:t xml:space="preserve"> the effectiveness of impairment screening and management processes </w:t>
      </w:r>
      <w:r w:rsidRPr="002E5648">
        <w:rPr>
          <w:i/>
          <w:color w:val="0070C0"/>
          <w:sz w:val="22"/>
          <w:szCs w:val="22"/>
        </w:rPr>
        <w:t xml:space="preserve">stated in the criteria be </w:t>
      </w:r>
      <w:r w:rsidR="00045F97" w:rsidRPr="002E5648">
        <w:rPr>
          <w:i/>
          <w:color w:val="0070C0"/>
          <w:sz w:val="22"/>
          <w:szCs w:val="22"/>
        </w:rPr>
        <w:t>measured</w:t>
      </w:r>
      <w:proofErr w:type="gramEnd"/>
      <w:r w:rsidRPr="002E5648">
        <w:rPr>
          <w:i/>
          <w:color w:val="0070C0"/>
          <w:sz w:val="22"/>
          <w:szCs w:val="22"/>
        </w:rPr>
        <w:t>?</w:t>
      </w:r>
    </w:p>
    <w:p w:rsidR="00045F97" w:rsidRPr="002E5648" w:rsidRDefault="00045F97" w:rsidP="00C868F3">
      <w:pPr>
        <w:pStyle w:val="Default"/>
        <w:ind w:left="720"/>
        <w:rPr>
          <w:i/>
          <w:color w:val="0070C0"/>
          <w:sz w:val="22"/>
          <w:szCs w:val="22"/>
        </w:rPr>
      </w:pPr>
      <w:proofErr w:type="gramStart"/>
      <w:r w:rsidRPr="002E5648">
        <w:rPr>
          <w:i/>
          <w:color w:val="0070C0"/>
          <w:sz w:val="22"/>
          <w:szCs w:val="22"/>
        </w:rPr>
        <w:t>1.9</w:t>
      </w:r>
      <w:proofErr w:type="gramEnd"/>
      <w:r w:rsidRPr="002E5648">
        <w:rPr>
          <w:i/>
          <w:color w:val="0070C0"/>
          <w:sz w:val="22"/>
          <w:szCs w:val="22"/>
        </w:rPr>
        <w:t xml:space="preserve"> (a) unclear requires a re-write</w:t>
      </w:r>
      <w:r w:rsidR="00D93CD8" w:rsidRPr="002E5648">
        <w:rPr>
          <w:i/>
          <w:color w:val="0070C0"/>
          <w:sz w:val="22"/>
          <w:szCs w:val="22"/>
        </w:rPr>
        <w:t xml:space="preserve"> (b) is repetitive of</w:t>
      </w:r>
      <w:r w:rsidR="009B450F" w:rsidRPr="002E5648">
        <w:rPr>
          <w:i/>
          <w:color w:val="0070C0"/>
          <w:sz w:val="22"/>
          <w:szCs w:val="22"/>
        </w:rPr>
        <w:t xml:space="preserve"> (</w:t>
      </w:r>
      <w:r w:rsidR="00D93CD8" w:rsidRPr="002E5648">
        <w:rPr>
          <w:i/>
          <w:color w:val="0070C0"/>
          <w:sz w:val="22"/>
          <w:szCs w:val="22"/>
        </w:rPr>
        <w:t>a</w:t>
      </w:r>
      <w:r w:rsidR="009B450F" w:rsidRPr="002E5648">
        <w:rPr>
          <w:i/>
          <w:color w:val="0070C0"/>
          <w:sz w:val="22"/>
          <w:szCs w:val="22"/>
        </w:rPr>
        <w:t>)</w:t>
      </w:r>
    </w:p>
    <w:p w:rsidR="00132999" w:rsidRPr="002E5648" w:rsidRDefault="00132999" w:rsidP="00C868F3">
      <w:pPr>
        <w:pStyle w:val="Default"/>
        <w:ind w:left="720"/>
        <w:rPr>
          <w:i/>
          <w:color w:val="0070C0"/>
          <w:sz w:val="22"/>
          <w:szCs w:val="22"/>
        </w:rPr>
      </w:pPr>
      <w:r w:rsidRPr="002E5648">
        <w:rPr>
          <w:i/>
          <w:color w:val="0070C0"/>
          <w:sz w:val="22"/>
          <w:szCs w:val="22"/>
        </w:rPr>
        <w:t xml:space="preserve">1.11 </w:t>
      </w:r>
      <w:proofErr w:type="gramStart"/>
      <w:r w:rsidRPr="002E5648">
        <w:rPr>
          <w:i/>
          <w:color w:val="0070C0"/>
          <w:sz w:val="22"/>
          <w:szCs w:val="22"/>
        </w:rPr>
        <w:t>re</w:t>
      </w:r>
      <w:proofErr w:type="gramEnd"/>
      <w:r w:rsidRPr="002E5648">
        <w:rPr>
          <w:i/>
          <w:color w:val="0070C0"/>
          <w:sz w:val="22"/>
          <w:szCs w:val="22"/>
        </w:rPr>
        <w:t xml:space="preserve"> TEQSA standards</w:t>
      </w:r>
    </w:p>
    <w:p w:rsidR="00D93CD8" w:rsidRPr="002E5648" w:rsidRDefault="00FD5708" w:rsidP="00045F97">
      <w:pPr>
        <w:pStyle w:val="Default"/>
        <w:rPr>
          <w:b/>
          <w:i/>
          <w:color w:val="0070C0"/>
          <w:sz w:val="22"/>
          <w:szCs w:val="22"/>
        </w:rPr>
      </w:pPr>
      <w:r w:rsidRPr="002E5648">
        <w:rPr>
          <w:b/>
          <w:i/>
          <w:color w:val="0070C0"/>
          <w:sz w:val="22"/>
          <w:szCs w:val="22"/>
        </w:rPr>
        <w:t>Standard 2</w:t>
      </w:r>
      <w:r w:rsidR="009B450F" w:rsidRPr="002E5648">
        <w:rPr>
          <w:b/>
          <w:i/>
          <w:color w:val="0070C0"/>
          <w:sz w:val="22"/>
          <w:szCs w:val="22"/>
        </w:rPr>
        <w:t xml:space="preserve"> Governance</w:t>
      </w:r>
    </w:p>
    <w:p w:rsidR="00D93CD8" w:rsidRPr="002E5648" w:rsidRDefault="00D93CD8" w:rsidP="00C868F3">
      <w:pPr>
        <w:pStyle w:val="Default"/>
        <w:ind w:left="720"/>
        <w:rPr>
          <w:i/>
          <w:color w:val="0070C0"/>
          <w:sz w:val="22"/>
          <w:szCs w:val="22"/>
        </w:rPr>
      </w:pPr>
      <w:r w:rsidRPr="002E5648">
        <w:rPr>
          <w:i/>
          <w:color w:val="0070C0"/>
          <w:sz w:val="22"/>
          <w:szCs w:val="22"/>
        </w:rPr>
        <w:t>2.3 RN Standards of Practice referred to as current</w:t>
      </w:r>
    </w:p>
    <w:p w:rsidR="00FD5708" w:rsidRPr="002E5648" w:rsidRDefault="00FD5708" w:rsidP="00FD5708">
      <w:pPr>
        <w:pStyle w:val="Default"/>
        <w:rPr>
          <w:b/>
          <w:i/>
          <w:color w:val="0070C0"/>
          <w:sz w:val="22"/>
          <w:szCs w:val="22"/>
        </w:rPr>
      </w:pPr>
      <w:r w:rsidRPr="002E5648">
        <w:rPr>
          <w:b/>
          <w:i/>
          <w:color w:val="0070C0"/>
          <w:sz w:val="22"/>
          <w:szCs w:val="22"/>
        </w:rPr>
        <w:t>Standard 3</w:t>
      </w:r>
      <w:r w:rsidR="009B450F" w:rsidRPr="002E5648">
        <w:rPr>
          <w:b/>
          <w:i/>
          <w:color w:val="0070C0"/>
          <w:sz w:val="22"/>
          <w:szCs w:val="22"/>
        </w:rPr>
        <w:t xml:space="preserve"> Program of Study</w:t>
      </w:r>
    </w:p>
    <w:p w:rsidR="00D93CD8" w:rsidRPr="002E5648" w:rsidRDefault="00FD5708" w:rsidP="00C868F3">
      <w:pPr>
        <w:pStyle w:val="Default"/>
        <w:ind w:left="720"/>
        <w:rPr>
          <w:i/>
          <w:color w:val="0070C0"/>
          <w:sz w:val="22"/>
          <w:szCs w:val="22"/>
        </w:rPr>
      </w:pPr>
      <w:r w:rsidRPr="002E5648">
        <w:rPr>
          <w:i/>
          <w:color w:val="0070C0"/>
          <w:sz w:val="22"/>
          <w:szCs w:val="22"/>
        </w:rPr>
        <w:t>3.1 I</w:t>
      </w:r>
      <w:r w:rsidR="00D93CD8" w:rsidRPr="002E5648">
        <w:rPr>
          <w:i/>
          <w:color w:val="0070C0"/>
          <w:sz w:val="22"/>
          <w:szCs w:val="22"/>
        </w:rPr>
        <w:t xml:space="preserve">nclude </w:t>
      </w:r>
      <w:r w:rsidR="00E067F4" w:rsidRPr="002E5648">
        <w:rPr>
          <w:i/>
          <w:color w:val="0070C0"/>
          <w:sz w:val="22"/>
          <w:szCs w:val="22"/>
        </w:rPr>
        <w:t>learning and teaching approaches a</w:t>
      </w:r>
      <w:r w:rsidR="002E5648">
        <w:rPr>
          <w:i/>
          <w:color w:val="0070C0"/>
          <w:sz w:val="22"/>
          <w:szCs w:val="22"/>
        </w:rPr>
        <w:t>fter the educational philosophy</w:t>
      </w:r>
    </w:p>
    <w:p w:rsidR="00CE4697" w:rsidRPr="002E5648" w:rsidRDefault="00D93CD8" w:rsidP="00C868F3">
      <w:pPr>
        <w:pStyle w:val="Default"/>
        <w:ind w:left="720"/>
        <w:rPr>
          <w:i/>
          <w:color w:val="0070C0"/>
          <w:sz w:val="22"/>
          <w:szCs w:val="22"/>
        </w:rPr>
      </w:pPr>
      <w:r w:rsidRPr="002E5648">
        <w:rPr>
          <w:i/>
          <w:color w:val="0070C0"/>
          <w:sz w:val="22"/>
          <w:szCs w:val="22"/>
        </w:rPr>
        <w:t>3.3</w:t>
      </w:r>
      <w:r w:rsidR="00CE4697" w:rsidRPr="002E5648">
        <w:rPr>
          <w:color w:val="0070C0"/>
          <w:sz w:val="22"/>
          <w:szCs w:val="22"/>
        </w:rPr>
        <w:t xml:space="preserve"> </w:t>
      </w:r>
      <w:r w:rsidR="00E067F4" w:rsidRPr="002E5648">
        <w:rPr>
          <w:i/>
          <w:color w:val="0070C0"/>
          <w:sz w:val="22"/>
          <w:szCs w:val="22"/>
        </w:rPr>
        <w:t>Recommend replacing reference to single reference to mental health is expanded</w:t>
      </w:r>
      <w:r w:rsidR="00E067F4" w:rsidRPr="002E5648">
        <w:rPr>
          <w:color w:val="0070C0"/>
          <w:sz w:val="22"/>
          <w:szCs w:val="22"/>
        </w:rPr>
        <w:t xml:space="preserve"> </w:t>
      </w:r>
      <w:r w:rsidR="00CE4697" w:rsidRPr="002E5648">
        <w:rPr>
          <w:color w:val="0070C0"/>
          <w:sz w:val="22"/>
          <w:szCs w:val="22"/>
        </w:rPr>
        <w:t xml:space="preserve">and </w:t>
      </w:r>
      <w:r w:rsidR="00E067F4" w:rsidRPr="002E5648">
        <w:rPr>
          <w:color w:val="0070C0"/>
          <w:sz w:val="22"/>
          <w:szCs w:val="22"/>
        </w:rPr>
        <w:t>suggest use the statement earlier stated in the consultation paper 2, “</w:t>
      </w:r>
      <w:r w:rsidR="00CE4697" w:rsidRPr="002E5648">
        <w:rPr>
          <w:color w:val="0070C0"/>
          <w:sz w:val="22"/>
          <w:szCs w:val="22"/>
        </w:rPr>
        <w:t>content related to ageing population, management of physical and mental health, a significant increase in chronic disease and co-morbidities</w:t>
      </w:r>
      <w:r w:rsidR="00E067F4" w:rsidRPr="002E5648">
        <w:rPr>
          <w:color w:val="0070C0"/>
          <w:sz w:val="22"/>
          <w:szCs w:val="22"/>
        </w:rPr>
        <w:t>”</w:t>
      </w:r>
      <w:r w:rsidR="00CE4697" w:rsidRPr="002E5648">
        <w:rPr>
          <w:color w:val="0070C0"/>
          <w:sz w:val="22"/>
          <w:szCs w:val="22"/>
        </w:rPr>
        <w:t xml:space="preserve"> p.9</w:t>
      </w:r>
    </w:p>
    <w:p w:rsidR="003E3261" w:rsidRPr="002E5648" w:rsidRDefault="00D93CD8" w:rsidP="00C868F3">
      <w:pPr>
        <w:pStyle w:val="Default"/>
        <w:ind w:left="720"/>
        <w:rPr>
          <w:i/>
          <w:color w:val="0070C0"/>
          <w:sz w:val="22"/>
          <w:szCs w:val="22"/>
        </w:rPr>
      </w:pPr>
      <w:r w:rsidRPr="002E5648">
        <w:rPr>
          <w:i/>
          <w:color w:val="0070C0"/>
          <w:sz w:val="22"/>
          <w:szCs w:val="22"/>
        </w:rPr>
        <w:t>3.5</w:t>
      </w:r>
      <w:r w:rsidR="003E3261" w:rsidRPr="002E5648">
        <w:rPr>
          <w:i/>
          <w:color w:val="0070C0"/>
          <w:sz w:val="22"/>
          <w:szCs w:val="22"/>
        </w:rPr>
        <w:t xml:space="preserve"> Cultural safety extended </w:t>
      </w:r>
      <w:r w:rsidR="00E067F4" w:rsidRPr="002E5648">
        <w:rPr>
          <w:i/>
          <w:color w:val="0070C0"/>
          <w:sz w:val="22"/>
          <w:szCs w:val="22"/>
        </w:rPr>
        <w:t xml:space="preserve">by using a statement that it is provided </w:t>
      </w:r>
      <w:r w:rsidR="003E3261" w:rsidRPr="002E5648">
        <w:rPr>
          <w:i/>
          <w:color w:val="0070C0"/>
          <w:sz w:val="22"/>
          <w:szCs w:val="22"/>
        </w:rPr>
        <w:t xml:space="preserve">to all people </w:t>
      </w:r>
      <w:r w:rsidR="00E067F4" w:rsidRPr="002E5648">
        <w:rPr>
          <w:i/>
          <w:color w:val="0070C0"/>
          <w:sz w:val="22"/>
          <w:szCs w:val="22"/>
        </w:rPr>
        <w:t xml:space="preserve">and based on individuality </w:t>
      </w:r>
      <w:r w:rsidR="002E5648">
        <w:rPr>
          <w:i/>
          <w:color w:val="0070C0"/>
          <w:sz w:val="22"/>
          <w:szCs w:val="22"/>
        </w:rPr>
        <w:t>not just ethnicity</w:t>
      </w:r>
    </w:p>
    <w:p w:rsidR="00D93CD8" w:rsidRPr="002E5648" w:rsidRDefault="00D93CD8" w:rsidP="00C868F3">
      <w:pPr>
        <w:pStyle w:val="Default"/>
        <w:ind w:left="720"/>
        <w:rPr>
          <w:i/>
          <w:color w:val="0070C0"/>
          <w:sz w:val="22"/>
          <w:szCs w:val="22"/>
        </w:rPr>
      </w:pPr>
      <w:r w:rsidRPr="002E5648">
        <w:rPr>
          <w:i/>
          <w:color w:val="0070C0"/>
          <w:sz w:val="22"/>
          <w:szCs w:val="22"/>
        </w:rPr>
        <w:t xml:space="preserve">3.7 </w:t>
      </w:r>
      <w:r w:rsidR="00E067F4" w:rsidRPr="002E5648">
        <w:rPr>
          <w:i/>
          <w:color w:val="0070C0"/>
          <w:sz w:val="22"/>
          <w:szCs w:val="22"/>
        </w:rPr>
        <w:t xml:space="preserve">Require </w:t>
      </w:r>
      <w:r w:rsidRPr="002E5648">
        <w:rPr>
          <w:i/>
          <w:color w:val="0070C0"/>
          <w:sz w:val="22"/>
          <w:szCs w:val="22"/>
        </w:rPr>
        <w:t>consistency in reference to RN Sta</w:t>
      </w:r>
      <w:r w:rsidR="00CE4697" w:rsidRPr="002E5648">
        <w:rPr>
          <w:i/>
          <w:color w:val="0070C0"/>
          <w:sz w:val="22"/>
          <w:szCs w:val="22"/>
        </w:rPr>
        <w:t>ndards of Pr</w:t>
      </w:r>
      <w:r w:rsidRPr="002E5648">
        <w:rPr>
          <w:i/>
          <w:color w:val="0070C0"/>
          <w:sz w:val="22"/>
          <w:szCs w:val="22"/>
        </w:rPr>
        <w:t>actice</w:t>
      </w:r>
    </w:p>
    <w:p w:rsidR="00FD5708" w:rsidRPr="002E5648" w:rsidRDefault="00FD5708" w:rsidP="00CE4697">
      <w:pPr>
        <w:pStyle w:val="Default"/>
        <w:rPr>
          <w:b/>
          <w:i/>
          <w:color w:val="0070C0"/>
          <w:sz w:val="22"/>
          <w:szCs w:val="22"/>
        </w:rPr>
      </w:pPr>
      <w:r w:rsidRPr="002E5648">
        <w:rPr>
          <w:b/>
          <w:i/>
          <w:color w:val="0070C0"/>
          <w:sz w:val="22"/>
          <w:szCs w:val="22"/>
        </w:rPr>
        <w:t>Standard 4</w:t>
      </w:r>
      <w:r w:rsidR="009B450F" w:rsidRPr="002E5648">
        <w:rPr>
          <w:b/>
          <w:i/>
          <w:color w:val="0070C0"/>
          <w:sz w:val="22"/>
          <w:szCs w:val="22"/>
        </w:rPr>
        <w:t xml:space="preserve"> Student experience</w:t>
      </w:r>
    </w:p>
    <w:p w:rsidR="00CE4697" w:rsidRPr="002E5648" w:rsidRDefault="00CE4697" w:rsidP="00C868F3">
      <w:pPr>
        <w:pStyle w:val="Default"/>
        <w:ind w:left="720"/>
        <w:rPr>
          <w:i/>
          <w:color w:val="0070C0"/>
          <w:sz w:val="22"/>
          <w:szCs w:val="22"/>
        </w:rPr>
      </w:pPr>
      <w:r w:rsidRPr="002E5648">
        <w:rPr>
          <w:i/>
          <w:color w:val="0070C0"/>
          <w:sz w:val="22"/>
          <w:szCs w:val="22"/>
        </w:rPr>
        <w:t xml:space="preserve">4.1 </w:t>
      </w:r>
      <w:r w:rsidR="00E067F4" w:rsidRPr="002E5648">
        <w:rPr>
          <w:i/>
          <w:color w:val="0070C0"/>
          <w:sz w:val="22"/>
          <w:szCs w:val="22"/>
        </w:rPr>
        <w:t>C</w:t>
      </w:r>
      <w:r w:rsidRPr="002E5648">
        <w:rPr>
          <w:i/>
          <w:color w:val="0070C0"/>
          <w:sz w:val="22"/>
          <w:szCs w:val="22"/>
        </w:rPr>
        <w:t>lear and transparent</w:t>
      </w:r>
      <w:r w:rsidR="007351D1" w:rsidRPr="002E5648">
        <w:rPr>
          <w:i/>
          <w:color w:val="0070C0"/>
          <w:sz w:val="22"/>
          <w:szCs w:val="22"/>
        </w:rPr>
        <w:t xml:space="preserve"> </w:t>
      </w:r>
      <w:r w:rsidR="00E067F4" w:rsidRPr="002E5648">
        <w:rPr>
          <w:i/>
          <w:color w:val="0070C0"/>
          <w:sz w:val="22"/>
          <w:szCs w:val="22"/>
        </w:rPr>
        <w:t xml:space="preserve">similar meaning </w:t>
      </w:r>
      <w:r w:rsidR="007351D1" w:rsidRPr="002E5648">
        <w:rPr>
          <w:i/>
          <w:color w:val="0070C0"/>
          <w:sz w:val="22"/>
          <w:szCs w:val="22"/>
        </w:rPr>
        <w:t xml:space="preserve">suggest </w:t>
      </w:r>
      <w:r w:rsidR="00E067F4" w:rsidRPr="002E5648">
        <w:rPr>
          <w:i/>
          <w:color w:val="0070C0"/>
          <w:sz w:val="22"/>
          <w:szCs w:val="22"/>
        </w:rPr>
        <w:t xml:space="preserve">change one to </w:t>
      </w:r>
      <w:r w:rsidR="007351D1" w:rsidRPr="002E5648">
        <w:rPr>
          <w:i/>
          <w:color w:val="0070C0"/>
          <w:sz w:val="22"/>
          <w:szCs w:val="22"/>
        </w:rPr>
        <w:t>timely</w:t>
      </w:r>
    </w:p>
    <w:p w:rsidR="00CE4697" w:rsidRPr="002E5648" w:rsidRDefault="00CE4697" w:rsidP="00C868F3">
      <w:pPr>
        <w:pStyle w:val="Default"/>
        <w:ind w:left="720"/>
        <w:rPr>
          <w:i/>
          <w:color w:val="0070C0"/>
          <w:sz w:val="22"/>
          <w:szCs w:val="22"/>
        </w:rPr>
      </w:pPr>
      <w:proofErr w:type="gramStart"/>
      <w:r w:rsidRPr="002E5648">
        <w:rPr>
          <w:i/>
          <w:color w:val="0070C0"/>
          <w:sz w:val="22"/>
          <w:szCs w:val="22"/>
        </w:rPr>
        <w:t>4.3</w:t>
      </w:r>
      <w:proofErr w:type="gramEnd"/>
      <w:r w:rsidRPr="002E5648">
        <w:rPr>
          <w:i/>
          <w:color w:val="0070C0"/>
          <w:sz w:val="22"/>
          <w:szCs w:val="22"/>
        </w:rPr>
        <w:t xml:space="preserve"> use education provider consistently throughout document</w:t>
      </w:r>
    </w:p>
    <w:p w:rsidR="00FD5708" w:rsidRPr="002E5648" w:rsidRDefault="00045F97" w:rsidP="00045F97">
      <w:pPr>
        <w:pStyle w:val="Default"/>
        <w:rPr>
          <w:b/>
          <w:i/>
          <w:color w:val="0070C0"/>
          <w:sz w:val="22"/>
          <w:szCs w:val="22"/>
        </w:rPr>
      </w:pPr>
      <w:r w:rsidRPr="002E5648">
        <w:rPr>
          <w:b/>
          <w:i/>
          <w:color w:val="0070C0"/>
          <w:sz w:val="22"/>
          <w:szCs w:val="22"/>
        </w:rPr>
        <w:t xml:space="preserve">Standard </w:t>
      </w:r>
      <w:proofErr w:type="gramStart"/>
      <w:r w:rsidRPr="002E5648">
        <w:rPr>
          <w:b/>
          <w:i/>
          <w:color w:val="0070C0"/>
          <w:sz w:val="22"/>
          <w:szCs w:val="22"/>
        </w:rPr>
        <w:t xml:space="preserve">5 </w:t>
      </w:r>
      <w:r w:rsidR="00E067F4" w:rsidRPr="002E5648">
        <w:rPr>
          <w:b/>
          <w:i/>
          <w:color w:val="0070C0"/>
          <w:sz w:val="22"/>
          <w:szCs w:val="22"/>
        </w:rPr>
        <w:t xml:space="preserve"> Student</w:t>
      </w:r>
      <w:proofErr w:type="gramEnd"/>
      <w:r w:rsidR="00E067F4" w:rsidRPr="002E5648">
        <w:rPr>
          <w:b/>
          <w:i/>
          <w:color w:val="0070C0"/>
          <w:sz w:val="22"/>
          <w:szCs w:val="22"/>
        </w:rPr>
        <w:t xml:space="preserve"> a</w:t>
      </w:r>
      <w:r w:rsidR="009B450F" w:rsidRPr="002E5648">
        <w:rPr>
          <w:b/>
          <w:i/>
          <w:color w:val="0070C0"/>
          <w:sz w:val="22"/>
          <w:szCs w:val="22"/>
        </w:rPr>
        <w:t>ssessment</w:t>
      </w:r>
    </w:p>
    <w:p w:rsidR="00045F97" w:rsidRPr="002E5648" w:rsidRDefault="00230ECA" w:rsidP="00045F97">
      <w:pPr>
        <w:pStyle w:val="Default"/>
        <w:rPr>
          <w:i/>
          <w:color w:val="0070C0"/>
          <w:sz w:val="22"/>
          <w:szCs w:val="22"/>
        </w:rPr>
      </w:pPr>
      <w:r w:rsidRPr="002E5648">
        <w:rPr>
          <w:i/>
          <w:color w:val="0070C0"/>
          <w:sz w:val="22"/>
          <w:szCs w:val="22"/>
        </w:rPr>
        <w:t xml:space="preserve">If retained </w:t>
      </w:r>
      <w:proofErr w:type="gramStart"/>
      <w:r w:rsidRPr="002E5648">
        <w:rPr>
          <w:i/>
          <w:color w:val="0070C0"/>
          <w:sz w:val="22"/>
          <w:szCs w:val="22"/>
        </w:rPr>
        <w:t>r</w:t>
      </w:r>
      <w:r w:rsidR="00E067F4" w:rsidRPr="002E5648">
        <w:rPr>
          <w:i/>
          <w:color w:val="0070C0"/>
          <w:sz w:val="22"/>
          <w:szCs w:val="22"/>
        </w:rPr>
        <w:t xml:space="preserve">eview </w:t>
      </w:r>
      <w:r w:rsidR="00045F97" w:rsidRPr="002E5648">
        <w:rPr>
          <w:i/>
          <w:color w:val="0070C0"/>
          <w:sz w:val="22"/>
          <w:szCs w:val="22"/>
        </w:rPr>
        <w:t xml:space="preserve"> title</w:t>
      </w:r>
      <w:proofErr w:type="gramEnd"/>
      <w:r w:rsidR="00045F97" w:rsidRPr="002E5648">
        <w:rPr>
          <w:i/>
          <w:color w:val="0070C0"/>
          <w:sz w:val="22"/>
          <w:szCs w:val="22"/>
        </w:rPr>
        <w:t xml:space="preserve"> to reflect criteria suggest</w:t>
      </w:r>
      <w:r w:rsidR="00E067F4" w:rsidRPr="002E5648">
        <w:rPr>
          <w:i/>
          <w:color w:val="0070C0"/>
          <w:sz w:val="22"/>
          <w:szCs w:val="22"/>
        </w:rPr>
        <w:t xml:space="preserve"> rename as </w:t>
      </w:r>
      <w:r w:rsidR="00045F97" w:rsidRPr="002E5648">
        <w:rPr>
          <w:i/>
          <w:color w:val="0070C0"/>
          <w:sz w:val="22"/>
          <w:szCs w:val="22"/>
        </w:rPr>
        <w:t xml:space="preserve"> Student Learning and Assessment</w:t>
      </w:r>
    </w:p>
    <w:p w:rsidR="00045F97" w:rsidRPr="002E5648" w:rsidRDefault="006C282B" w:rsidP="00C868F3">
      <w:pPr>
        <w:pStyle w:val="Default"/>
        <w:ind w:left="720"/>
        <w:rPr>
          <w:i/>
          <w:color w:val="0070C0"/>
          <w:sz w:val="22"/>
          <w:szCs w:val="22"/>
        </w:rPr>
      </w:pPr>
      <w:proofErr w:type="gramStart"/>
      <w:r w:rsidRPr="002E5648">
        <w:rPr>
          <w:i/>
          <w:color w:val="0070C0"/>
          <w:sz w:val="22"/>
          <w:szCs w:val="22"/>
        </w:rPr>
        <w:t>5.3</w:t>
      </w:r>
      <w:proofErr w:type="gramEnd"/>
      <w:r w:rsidRPr="002E5648">
        <w:rPr>
          <w:i/>
          <w:color w:val="0070C0"/>
          <w:sz w:val="22"/>
          <w:szCs w:val="22"/>
        </w:rPr>
        <w:t xml:space="preserve"> </w:t>
      </w:r>
      <w:r w:rsidR="00E067F4" w:rsidRPr="002E5648">
        <w:rPr>
          <w:i/>
          <w:color w:val="0070C0"/>
          <w:sz w:val="22"/>
          <w:szCs w:val="22"/>
        </w:rPr>
        <w:t xml:space="preserve">Change clinical to </w:t>
      </w:r>
      <w:r w:rsidRPr="002E5648">
        <w:rPr>
          <w:i/>
          <w:color w:val="0070C0"/>
          <w:sz w:val="22"/>
          <w:szCs w:val="22"/>
        </w:rPr>
        <w:t>professional experience placement</w:t>
      </w:r>
    </w:p>
    <w:p w:rsidR="006C282B" w:rsidRPr="002E5648" w:rsidRDefault="00E067F4" w:rsidP="00C868F3">
      <w:pPr>
        <w:pStyle w:val="Default"/>
        <w:ind w:left="720"/>
        <w:rPr>
          <w:i/>
          <w:color w:val="0070C0"/>
          <w:sz w:val="22"/>
          <w:szCs w:val="22"/>
        </w:rPr>
      </w:pPr>
      <w:r w:rsidRPr="002E5648">
        <w:rPr>
          <w:i/>
          <w:color w:val="0070C0"/>
          <w:sz w:val="22"/>
          <w:szCs w:val="22"/>
        </w:rPr>
        <w:t>5.5 W</w:t>
      </w:r>
      <w:r w:rsidR="006C282B" w:rsidRPr="002E5648">
        <w:rPr>
          <w:i/>
          <w:color w:val="0070C0"/>
          <w:sz w:val="22"/>
          <w:szCs w:val="22"/>
        </w:rPr>
        <w:t>ording incoherent consider require timely feedback</w:t>
      </w:r>
    </w:p>
    <w:p w:rsidR="00045F97" w:rsidRDefault="00045F97" w:rsidP="004B47A4">
      <w:pPr>
        <w:pStyle w:val="Default"/>
        <w:rPr>
          <w:b/>
          <w:bCs/>
          <w:sz w:val="16"/>
          <w:szCs w:val="16"/>
        </w:rPr>
      </w:pPr>
    </w:p>
    <w:p w:rsidR="00045F97" w:rsidRDefault="00045F97" w:rsidP="004B47A4">
      <w:pPr>
        <w:pStyle w:val="Default"/>
        <w:rPr>
          <w:b/>
          <w:bCs/>
          <w:sz w:val="16"/>
          <w:szCs w:val="16"/>
        </w:rPr>
      </w:pPr>
    </w:p>
    <w:p w:rsidR="00E578CF" w:rsidRDefault="00E578CF" w:rsidP="004B47A4">
      <w:pPr>
        <w:pStyle w:val="Default"/>
        <w:rPr>
          <w:b/>
          <w:bCs/>
          <w:color w:val="auto"/>
          <w:sz w:val="28"/>
          <w:szCs w:val="28"/>
        </w:rPr>
      </w:pPr>
    </w:p>
    <w:p w:rsidR="004B47A4" w:rsidRDefault="004B47A4" w:rsidP="004B47A4">
      <w:pPr>
        <w:pStyle w:val="Default"/>
        <w:rPr>
          <w:color w:val="auto"/>
          <w:sz w:val="28"/>
          <w:szCs w:val="28"/>
        </w:rPr>
      </w:pPr>
      <w:r>
        <w:rPr>
          <w:b/>
          <w:bCs/>
          <w:color w:val="auto"/>
          <w:sz w:val="28"/>
          <w:szCs w:val="28"/>
        </w:rPr>
        <w:t xml:space="preserve">Prescribing for graduates of an entry-to-practice program </w:t>
      </w:r>
    </w:p>
    <w:p w:rsidR="004B47A4" w:rsidRDefault="004B47A4" w:rsidP="004B47A4">
      <w:pPr>
        <w:pStyle w:val="Default"/>
        <w:rPr>
          <w:color w:val="auto"/>
          <w:sz w:val="22"/>
          <w:szCs w:val="22"/>
        </w:rPr>
      </w:pPr>
      <w:r>
        <w:rPr>
          <w:b/>
          <w:bCs/>
          <w:color w:val="auto"/>
          <w:sz w:val="22"/>
          <w:szCs w:val="22"/>
        </w:rPr>
        <w:t xml:space="preserve">Question 6 </w:t>
      </w:r>
    </w:p>
    <w:p w:rsidR="004B47A4" w:rsidRDefault="004B47A4" w:rsidP="004B47A4">
      <w:pPr>
        <w:pStyle w:val="Default"/>
        <w:rPr>
          <w:color w:val="auto"/>
          <w:sz w:val="22"/>
          <w:szCs w:val="22"/>
        </w:rPr>
      </w:pPr>
      <w:r>
        <w:rPr>
          <w:color w:val="auto"/>
          <w:sz w:val="22"/>
          <w:szCs w:val="22"/>
        </w:rPr>
        <w:t xml:space="preserve">Do the draft standards continue to capture the learning outcomes required to enable graduates to safely supply and administer medicines via a protocol and/or standing order (prescribing via a structured prescribing arrangement)? </w:t>
      </w:r>
    </w:p>
    <w:p w:rsidR="004B47A4" w:rsidRDefault="004B47A4" w:rsidP="004B47A4">
      <w:pPr>
        <w:pStyle w:val="Default"/>
        <w:rPr>
          <w:color w:val="auto"/>
          <w:sz w:val="22"/>
          <w:szCs w:val="22"/>
        </w:rPr>
      </w:pPr>
    </w:p>
    <w:p w:rsidR="004B47A4" w:rsidRPr="002E5648" w:rsidRDefault="004B47A4" w:rsidP="004B47A4">
      <w:pPr>
        <w:rPr>
          <w:i/>
          <w:color w:val="0070C0"/>
        </w:rPr>
      </w:pPr>
      <w:r w:rsidRPr="002E5648">
        <w:rPr>
          <w:i/>
          <w:color w:val="0070C0"/>
        </w:rPr>
        <w:t xml:space="preserve">We support the notion that RNs prescribing from an agreed formulary via established clinical protocols. </w:t>
      </w:r>
    </w:p>
    <w:p w:rsidR="00B827D4" w:rsidRPr="002E5648" w:rsidRDefault="00B827D4" w:rsidP="004B47A4">
      <w:pPr>
        <w:rPr>
          <w:i/>
          <w:color w:val="0070C0"/>
        </w:rPr>
      </w:pPr>
      <w:r w:rsidRPr="002E5648">
        <w:rPr>
          <w:i/>
          <w:color w:val="0070C0"/>
        </w:rPr>
        <w:t>Definition of prescribing via a structured prescribing arrangement to be included in glossary</w:t>
      </w:r>
      <w:r w:rsidR="002E5648">
        <w:rPr>
          <w:i/>
          <w:color w:val="0070C0"/>
        </w:rPr>
        <w:t>.</w:t>
      </w:r>
    </w:p>
    <w:p w:rsidR="004B47A4" w:rsidRPr="002E5648" w:rsidRDefault="004B47A4" w:rsidP="004B47A4">
      <w:pPr>
        <w:rPr>
          <w:i/>
          <w:color w:val="0070C0"/>
        </w:rPr>
      </w:pPr>
      <w:r w:rsidRPr="002E5648">
        <w:rPr>
          <w:i/>
          <w:color w:val="0070C0"/>
        </w:rPr>
        <w:t xml:space="preserve">However, the processes for this type of prescribing varies widely across Australia. This complicates the identification of core knowledge and competencies require </w:t>
      </w:r>
      <w:proofErr w:type="gramStart"/>
      <w:r w:rsidRPr="002E5648">
        <w:rPr>
          <w:i/>
          <w:color w:val="0070C0"/>
        </w:rPr>
        <w:t>to prescribe</w:t>
      </w:r>
      <w:proofErr w:type="gramEnd"/>
      <w:r w:rsidRPr="002E5648">
        <w:rPr>
          <w:i/>
          <w:color w:val="0070C0"/>
        </w:rPr>
        <w:t xml:space="preserve"> within a protocol driven </w:t>
      </w:r>
      <w:r w:rsidRPr="002E5648">
        <w:rPr>
          <w:i/>
          <w:color w:val="0070C0"/>
        </w:rPr>
        <w:lastRenderedPageBreak/>
        <w:t xml:space="preserve">environment. This in turn poses challenges for education providers as they attempt to meet assessment standard 5.4 (Assessments include the appraisal of competence in pharmacokinetics, pharmacodynamics and the quality use of medicines.)  I would argue that an agreed core of knowledge and competencies </w:t>
      </w:r>
      <w:proofErr w:type="gramStart"/>
      <w:r w:rsidRPr="002E5648">
        <w:rPr>
          <w:i/>
          <w:color w:val="0070C0"/>
        </w:rPr>
        <w:t>is established</w:t>
      </w:r>
      <w:proofErr w:type="gramEnd"/>
      <w:r w:rsidRPr="002E5648">
        <w:rPr>
          <w:i/>
          <w:color w:val="0070C0"/>
        </w:rPr>
        <w:t xml:space="preserve"> by ANMAC in consultation with Pharmacy guild, education providers and health care services.  This could be included as an explanatory note attached to the standard. I would further argue that there is insufficient time in the current 3 year UG curriculum and that consideration is given to dedicated modules within a fourth year internship or graduate year to facilitate this content.</w:t>
      </w:r>
    </w:p>
    <w:p w:rsidR="004B47A4" w:rsidRPr="002E5648" w:rsidRDefault="003C314D" w:rsidP="004B47A4">
      <w:pPr>
        <w:pStyle w:val="Default"/>
        <w:rPr>
          <w:i/>
          <w:color w:val="0070C0"/>
          <w:sz w:val="22"/>
          <w:szCs w:val="22"/>
        </w:rPr>
      </w:pPr>
      <w:r w:rsidRPr="002E5648">
        <w:rPr>
          <w:i/>
          <w:color w:val="0070C0"/>
          <w:sz w:val="22"/>
          <w:szCs w:val="22"/>
        </w:rPr>
        <w:t xml:space="preserve">Standards require clarification </w:t>
      </w:r>
      <w:r w:rsidR="00230ECA" w:rsidRPr="002E5648">
        <w:rPr>
          <w:i/>
          <w:color w:val="0070C0"/>
          <w:sz w:val="22"/>
          <w:szCs w:val="22"/>
        </w:rPr>
        <w:t xml:space="preserve">that the standard </w:t>
      </w:r>
      <w:r w:rsidRPr="002E5648">
        <w:rPr>
          <w:i/>
          <w:color w:val="0070C0"/>
          <w:sz w:val="22"/>
          <w:szCs w:val="22"/>
        </w:rPr>
        <w:t xml:space="preserve">refers to quality use of medicines is </w:t>
      </w:r>
      <w:r w:rsidR="00C868F3" w:rsidRPr="002E5648">
        <w:rPr>
          <w:i/>
          <w:color w:val="0070C0"/>
          <w:sz w:val="22"/>
          <w:szCs w:val="22"/>
        </w:rPr>
        <w:t xml:space="preserve">at a </w:t>
      </w:r>
      <w:r w:rsidRPr="002E5648">
        <w:rPr>
          <w:i/>
          <w:color w:val="0070C0"/>
          <w:sz w:val="22"/>
          <w:szCs w:val="22"/>
        </w:rPr>
        <w:t xml:space="preserve">foundation </w:t>
      </w:r>
    </w:p>
    <w:p w:rsidR="003C314D" w:rsidRPr="002E5648" w:rsidRDefault="003C314D" w:rsidP="004B47A4">
      <w:pPr>
        <w:pStyle w:val="Default"/>
        <w:rPr>
          <w:i/>
          <w:color w:val="0070C0"/>
          <w:sz w:val="22"/>
          <w:szCs w:val="22"/>
        </w:rPr>
      </w:pPr>
      <w:proofErr w:type="gramStart"/>
      <w:r w:rsidRPr="002E5648">
        <w:rPr>
          <w:i/>
          <w:color w:val="0070C0"/>
          <w:sz w:val="22"/>
          <w:szCs w:val="22"/>
        </w:rPr>
        <w:t>that</w:t>
      </w:r>
      <w:proofErr w:type="gramEnd"/>
      <w:r w:rsidRPr="002E5648">
        <w:rPr>
          <w:i/>
          <w:color w:val="0070C0"/>
          <w:sz w:val="22"/>
          <w:szCs w:val="22"/>
        </w:rPr>
        <w:t xml:space="preserve"> this standard is not moving into the extended guidelines current standard ambiguous, refer to executive summary for clear statement on this area</w:t>
      </w:r>
      <w:r w:rsidR="00230ECA" w:rsidRPr="002E5648">
        <w:rPr>
          <w:i/>
          <w:color w:val="0070C0"/>
          <w:sz w:val="22"/>
          <w:szCs w:val="22"/>
        </w:rPr>
        <w:t xml:space="preserve"> level rather than extension as per RIPEN HWA clarity needed on Critical Care Guidelines (NSW)</w:t>
      </w:r>
    </w:p>
    <w:p w:rsidR="003C314D" w:rsidRDefault="003C314D" w:rsidP="004B47A4">
      <w:pPr>
        <w:pStyle w:val="Default"/>
        <w:rPr>
          <w:b/>
          <w:bCs/>
          <w:color w:val="auto"/>
          <w:sz w:val="28"/>
          <w:szCs w:val="28"/>
        </w:rPr>
      </w:pPr>
    </w:p>
    <w:p w:rsidR="004B47A4" w:rsidRDefault="004B47A4" w:rsidP="004B47A4">
      <w:pPr>
        <w:pStyle w:val="Default"/>
        <w:rPr>
          <w:color w:val="auto"/>
          <w:sz w:val="28"/>
          <w:szCs w:val="28"/>
        </w:rPr>
      </w:pPr>
      <w:r>
        <w:rPr>
          <w:b/>
          <w:bCs/>
          <w:color w:val="auto"/>
          <w:sz w:val="28"/>
          <w:szCs w:val="28"/>
        </w:rPr>
        <w:t xml:space="preserve">Simulated learning </w:t>
      </w:r>
    </w:p>
    <w:p w:rsidR="004B47A4" w:rsidRDefault="004B47A4" w:rsidP="004B47A4">
      <w:pPr>
        <w:pStyle w:val="Default"/>
        <w:rPr>
          <w:color w:val="auto"/>
          <w:sz w:val="22"/>
          <w:szCs w:val="22"/>
        </w:rPr>
      </w:pPr>
      <w:r>
        <w:rPr>
          <w:b/>
          <w:bCs/>
          <w:color w:val="auto"/>
          <w:sz w:val="22"/>
          <w:szCs w:val="22"/>
        </w:rPr>
        <w:t xml:space="preserve">Question 7 </w:t>
      </w:r>
    </w:p>
    <w:p w:rsidR="004B47A4" w:rsidRDefault="004B47A4" w:rsidP="004B47A4">
      <w:pPr>
        <w:pStyle w:val="Default"/>
        <w:rPr>
          <w:color w:val="auto"/>
          <w:sz w:val="22"/>
          <w:szCs w:val="22"/>
        </w:rPr>
      </w:pPr>
      <w:proofErr w:type="gramStart"/>
      <w:r>
        <w:rPr>
          <w:color w:val="auto"/>
          <w:sz w:val="22"/>
          <w:szCs w:val="22"/>
        </w:rPr>
        <w:t>Should the proposed definition of simulation be adopted</w:t>
      </w:r>
      <w:proofErr w:type="gramEnd"/>
      <w:r>
        <w:rPr>
          <w:color w:val="auto"/>
          <w:sz w:val="22"/>
          <w:szCs w:val="22"/>
        </w:rPr>
        <w:t xml:space="preserve"> for the RN Accreditation Standards? </w:t>
      </w:r>
    </w:p>
    <w:p w:rsidR="004B47A4" w:rsidRDefault="004B47A4" w:rsidP="004B47A4"/>
    <w:p w:rsidR="004B47A4" w:rsidRPr="002E5648" w:rsidRDefault="004B47A4" w:rsidP="004B47A4">
      <w:pPr>
        <w:rPr>
          <w:i/>
          <w:color w:val="0070C0"/>
        </w:rPr>
      </w:pPr>
      <w:r w:rsidRPr="002E5648">
        <w:rPr>
          <w:i/>
          <w:color w:val="0070C0"/>
        </w:rPr>
        <w:t xml:space="preserve">We support the definition provided </w:t>
      </w:r>
      <w:proofErr w:type="spellStart"/>
      <w:proofErr w:type="gramStart"/>
      <w:r w:rsidR="00B01BE3" w:rsidRPr="002E5648">
        <w:rPr>
          <w:i/>
          <w:color w:val="0070C0"/>
        </w:rPr>
        <w:t>Gaba</w:t>
      </w:r>
      <w:proofErr w:type="spellEnd"/>
      <w:proofErr w:type="gramEnd"/>
      <w:r w:rsidR="00B01BE3" w:rsidRPr="002E5648">
        <w:rPr>
          <w:i/>
          <w:color w:val="0070C0"/>
        </w:rPr>
        <w:t xml:space="preserve"> (20</w:t>
      </w:r>
      <w:r w:rsidR="006C282B" w:rsidRPr="002E5648">
        <w:rPr>
          <w:i/>
          <w:color w:val="0070C0"/>
        </w:rPr>
        <w:t>04)</w:t>
      </w:r>
      <w:r w:rsidR="00B01BE3" w:rsidRPr="002E5648">
        <w:rPr>
          <w:i/>
          <w:color w:val="0070C0"/>
        </w:rPr>
        <w:t xml:space="preserve"> </w:t>
      </w:r>
      <w:proofErr w:type="spellStart"/>
      <w:r w:rsidR="00B01BE3" w:rsidRPr="002E5648">
        <w:rPr>
          <w:i/>
          <w:color w:val="0070C0"/>
        </w:rPr>
        <w:t>Center</w:t>
      </w:r>
      <w:proofErr w:type="spellEnd"/>
      <w:r w:rsidR="00B01BE3" w:rsidRPr="002E5648">
        <w:rPr>
          <w:i/>
          <w:color w:val="0070C0"/>
        </w:rPr>
        <w:t xml:space="preserve"> for Immersive and Simulation-based learning</w:t>
      </w:r>
      <w:r w:rsidR="002E5648">
        <w:rPr>
          <w:i/>
          <w:color w:val="0070C0"/>
        </w:rPr>
        <w:t>.</w:t>
      </w:r>
    </w:p>
    <w:p w:rsidR="006C282B" w:rsidRPr="002E5648" w:rsidRDefault="006C282B" w:rsidP="004B47A4">
      <w:pPr>
        <w:rPr>
          <w:i/>
          <w:color w:val="0070C0"/>
        </w:rPr>
      </w:pPr>
      <w:r w:rsidRPr="002E5648">
        <w:rPr>
          <w:i/>
          <w:color w:val="0070C0"/>
        </w:rPr>
        <w:t>Simulated based education should replace simulated learning experiences and be stated in full as part of the provided definition in the glossary</w:t>
      </w:r>
      <w:r w:rsidR="005A10BF" w:rsidRPr="002E5648">
        <w:rPr>
          <w:i/>
          <w:color w:val="0070C0"/>
        </w:rPr>
        <w:t>.</w:t>
      </w:r>
    </w:p>
    <w:p w:rsidR="004B47A4" w:rsidRPr="002E5648" w:rsidRDefault="004B47A4" w:rsidP="004B47A4">
      <w:pPr>
        <w:rPr>
          <w:i/>
          <w:color w:val="0070C0"/>
        </w:rPr>
      </w:pPr>
      <w:r w:rsidRPr="002E5648">
        <w:rPr>
          <w:i/>
          <w:color w:val="0070C0"/>
        </w:rPr>
        <w:t xml:space="preserve">We agree that insufficient evidence is available to justify the inclusion of simulation into the 800 hours and that is should remain as an adjunct to clinical practice opportunities.  </w:t>
      </w:r>
    </w:p>
    <w:p w:rsidR="00B01BE3" w:rsidRPr="002E5648" w:rsidRDefault="00B01BE3" w:rsidP="004B47A4">
      <w:pPr>
        <w:rPr>
          <w:i/>
          <w:color w:val="0070C0"/>
        </w:rPr>
      </w:pPr>
      <w:r w:rsidRPr="002E5648">
        <w:rPr>
          <w:i/>
          <w:color w:val="0070C0"/>
        </w:rPr>
        <w:t xml:space="preserve">Issues </w:t>
      </w:r>
      <w:r w:rsidR="003D231E" w:rsidRPr="002E5648">
        <w:rPr>
          <w:i/>
          <w:color w:val="0070C0"/>
        </w:rPr>
        <w:t xml:space="preserve">that </w:t>
      </w:r>
      <w:r w:rsidRPr="002E5648">
        <w:rPr>
          <w:i/>
          <w:color w:val="0070C0"/>
        </w:rPr>
        <w:t xml:space="preserve"> require</w:t>
      </w:r>
      <w:r w:rsidR="003D231E" w:rsidRPr="002E5648">
        <w:rPr>
          <w:i/>
          <w:color w:val="0070C0"/>
        </w:rPr>
        <w:t xml:space="preserve"> consideration in the replacement of clinical hours is the </w:t>
      </w:r>
      <w:r w:rsidRPr="002E5648">
        <w:rPr>
          <w:i/>
          <w:color w:val="0070C0"/>
        </w:rPr>
        <w:t xml:space="preserve"> quality criteria </w:t>
      </w:r>
      <w:r w:rsidR="003D231E" w:rsidRPr="002E5648">
        <w:rPr>
          <w:i/>
          <w:color w:val="0070C0"/>
        </w:rPr>
        <w:t>of</w:t>
      </w:r>
      <w:r w:rsidRPr="002E5648">
        <w:rPr>
          <w:i/>
          <w:color w:val="0070C0"/>
        </w:rPr>
        <w:t xml:space="preserve"> the simulation based education,</w:t>
      </w:r>
      <w:r w:rsidR="003D231E" w:rsidRPr="002E5648">
        <w:rPr>
          <w:i/>
          <w:color w:val="0070C0"/>
        </w:rPr>
        <w:t xml:space="preserve"> a</w:t>
      </w:r>
      <w:r w:rsidRPr="002E5648">
        <w:rPr>
          <w:i/>
          <w:color w:val="0070C0"/>
        </w:rPr>
        <w:t xml:space="preserve"> standardised </w:t>
      </w:r>
      <w:r w:rsidR="00F55A78" w:rsidRPr="002E5648">
        <w:rPr>
          <w:i/>
          <w:color w:val="0070C0"/>
        </w:rPr>
        <w:t xml:space="preserve">approach to delivery, design and evaluation of simulation and faculty development, provide a working definition for the simulation based education to replace professional placement hours and </w:t>
      </w:r>
      <w:r w:rsidRPr="002E5648">
        <w:rPr>
          <w:i/>
          <w:color w:val="0070C0"/>
        </w:rPr>
        <w:t xml:space="preserve"> understanding of the equivalence of simulation hours to professional practice experience.</w:t>
      </w:r>
      <w:r w:rsidR="005A10BF" w:rsidRPr="002E5648">
        <w:rPr>
          <w:i/>
          <w:color w:val="0070C0"/>
        </w:rPr>
        <w:t xml:space="preserve"> </w:t>
      </w:r>
      <w:r w:rsidRPr="002E5648">
        <w:rPr>
          <w:i/>
          <w:color w:val="0070C0"/>
        </w:rPr>
        <w:t xml:space="preserve">Refer </w:t>
      </w:r>
      <w:r w:rsidR="005A10BF" w:rsidRPr="002E5648">
        <w:rPr>
          <w:i/>
          <w:color w:val="0070C0"/>
        </w:rPr>
        <w:t xml:space="preserve">to </w:t>
      </w:r>
      <w:r w:rsidRPr="002E5648">
        <w:rPr>
          <w:i/>
          <w:color w:val="0070C0"/>
        </w:rPr>
        <w:t>International Nursing Association Clinical Simulation Learning Standards</w:t>
      </w:r>
      <w:r w:rsidR="005A10BF" w:rsidRPr="002E5648">
        <w:rPr>
          <w:i/>
          <w:color w:val="0070C0"/>
        </w:rPr>
        <w:t xml:space="preserve"> as </w:t>
      </w:r>
      <w:r w:rsidR="002E5648">
        <w:rPr>
          <w:i/>
          <w:color w:val="0070C0"/>
        </w:rPr>
        <w:t xml:space="preserve">a </w:t>
      </w:r>
      <w:r w:rsidR="005A10BF" w:rsidRPr="002E5648">
        <w:rPr>
          <w:i/>
          <w:color w:val="0070C0"/>
        </w:rPr>
        <w:t>reference</w:t>
      </w:r>
      <w:r w:rsidR="002E5648">
        <w:rPr>
          <w:i/>
          <w:color w:val="0070C0"/>
        </w:rPr>
        <w:t>.</w:t>
      </w:r>
    </w:p>
    <w:p w:rsidR="004B47A4" w:rsidRDefault="004B47A4" w:rsidP="004B47A4">
      <w:pPr>
        <w:pStyle w:val="Default"/>
        <w:rPr>
          <w:color w:val="auto"/>
          <w:sz w:val="22"/>
          <w:szCs w:val="22"/>
        </w:rPr>
      </w:pPr>
    </w:p>
    <w:p w:rsidR="004B47A4" w:rsidRDefault="004B47A4" w:rsidP="004B47A4">
      <w:pPr>
        <w:pStyle w:val="Default"/>
        <w:rPr>
          <w:color w:val="auto"/>
          <w:sz w:val="28"/>
          <w:szCs w:val="28"/>
        </w:rPr>
      </w:pPr>
      <w:r>
        <w:rPr>
          <w:b/>
          <w:bCs/>
          <w:color w:val="auto"/>
          <w:sz w:val="28"/>
          <w:szCs w:val="28"/>
        </w:rPr>
        <w:t xml:space="preserve">Health informatics and health technology </w:t>
      </w:r>
    </w:p>
    <w:p w:rsidR="004B47A4" w:rsidRDefault="004B47A4" w:rsidP="004B47A4">
      <w:pPr>
        <w:pStyle w:val="Default"/>
        <w:rPr>
          <w:color w:val="auto"/>
          <w:sz w:val="22"/>
          <w:szCs w:val="22"/>
        </w:rPr>
      </w:pPr>
      <w:r>
        <w:rPr>
          <w:b/>
          <w:bCs/>
          <w:color w:val="auto"/>
          <w:sz w:val="22"/>
          <w:szCs w:val="22"/>
        </w:rPr>
        <w:t xml:space="preserve">Question 8 </w:t>
      </w:r>
    </w:p>
    <w:p w:rsidR="004B47A4" w:rsidRPr="00BB5917" w:rsidRDefault="004B47A4" w:rsidP="004B47A4">
      <w:pPr>
        <w:pStyle w:val="Default"/>
        <w:rPr>
          <w:i/>
          <w:color w:val="auto"/>
          <w:sz w:val="22"/>
          <w:szCs w:val="22"/>
        </w:rPr>
      </w:pPr>
      <w:r w:rsidRPr="00BB5917">
        <w:rPr>
          <w:i/>
          <w:color w:val="auto"/>
          <w:sz w:val="22"/>
          <w:szCs w:val="22"/>
        </w:rPr>
        <w:t xml:space="preserve">How can the accreditation standards better support the inclusion of health informatics and digital health technologies in entry-to-practice nursing programs? </w:t>
      </w:r>
    </w:p>
    <w:p w:rsidR="004B47A4" w:rsidRPr="004B47A4" w:rsidRDefault="004B47A4" w:rsidP="004B47A4">
      <w:pPr>
        <w:pStyle w:val="Default"/>
        <w:rPr>
          <w:b/>
          <w:bCs/>
          <w:i/>
          <w:color w:val="ED7D31" w:themeColor="accent2"/>
          <w:sz w:val="28"/>
          <w:szCs w:val="28"/>
        </w:rPr>
      </w:pPr>
    </w:p>
    <w:p w:rsidR="004B47A4" w:rsidRPr="002E5648" w:rsidRDefault="004B47A4" w:rsidP="004B47A4">
      <w:pPr>
        <w:rPr>
          <w:i/>
          <w:color w:val="0070C0"/>
        </w:rPr>
      </w:pPr>
      <w:r w:rsidRPr="002E5648">
        <w:rPr>
          <w:i/>
          <w:color w:val="0070C0"/>
        </w:rPr>
        <w:t xml:space="preserve">This is challenging </w:t>
      </w:r>
      <w:proofErr w:type="gramStart"/>
      <w:r w:rsidRPr="002E5648">
        <w:rPr>
          <w:i/>
          <w:color w:val="0070C0"/>
        </w:rPr>
        <w:t>area</w:t>
      </w:r>
      <w:proofErr w:type="gramEnd"/>
      <w:r w:rsidRPr="002E5648">
        <w:rPr>
          <w:i/>
          <w:color w:val="0070C0"/>
        </w:rPr>
        <w:t xml:space="preserve"> as the mega trend of “information” is a major disruptor. Patients will have access to their own investigation results (via </w:t>
      </w:r>
      <w:proofErr w:type="spellStart"/>
      <w:r w:rsidRPr="002E5648">
        <w:rPr>
          <w:i/>
          <w:color w:val="0070C0"/>
        </w:rPr>
        <w:t>MyHealth</w:t>
      </w:r>
      <w:proofErr w:type="spellEnd"/>
      <w:r w:rsidRPr="002E5648">
        <w:rPr>
          <w:i/>
          <w:color w:val="0070C0"/>
        </w:rPr>
        <w:t xml:space="preserve"> record), are able to seek varied options from internet and social media platforms, receive feedback from wearable technology (e.g. continuous blood glucose monitoring) and have health care interventions performed by robotic technology.   Equally contemporary students are well versed in the use of communication technology and digitally native. </w:t>
      </w:r>
    </w:p>
    <w:p w:rsidR="004B47A4" w:rsidRPr="002E5648" w:rsidRDefault="00BB5917" w:rsidP="004B47A4">
      <w:pPr>
        <w:rPr>
          <w:i/>
          <w:color w:val="0070C0"/>
        </w:rPr>
      </w:pPr>
      <w:r w:rsidRPr="002E5648">
        <w:rPr>
          <w:i/>
          <w:color w:val="0070C0"/>
        </w:rPr>
        <w:t>Whilst ii</w:t>
      </w:r>
      <w:r w:rsidR="004B47A4" w:rsidRPr="002E5648">
        <w:rPr>
          <w:i/>
          <w:color w:val="0070C0"/>
        </w:rPr>
        <w:t xml:space="preserve"> could be argued that the broad accreditation standards “encompassed learning outcomes such as clinical knowledge and skills, therapeutic communication, critical thinking and problem-solving skills; skills that contribute to managing challenges in an era of change” overshadow the need for specific </w:t>
      </w:r>
      <w:proofErr w:type="spellStart"/>
      <w:r w:rsidR="004B47A4" w:rsidRPr="002E5648">
        <w:rPr>
          <w:i/>
          <w:color w:val="0070C0"/>
        </w:rPr>
        <w:t>informatic</w:t>
      </w:r>
      <w:proofErr w:type="spellEnd"/>
      <w:r w:rsidR="004B47A4" w:rsidRPr="002E5648">
        <w:rPr>
          <w:i/>
          <w:color w:val="0070C0"/>
        </w:rPr>
        <w:t xml:space="preserve"> sta</w:t>
      </w:r>
      <w:r w:rsidRPr="002E5648">
        <w:rPr>
          <w:i/>
          <w:color w:val="0070C0"/>
        </w:rPr>
        <w:t>ndards. I believe that the extent</w:t>
      </w:r>
      <w:r w:rsidR="004B47A4" w:rsidRPr="002E5648">
        <w:rPr>
          <w:i/>
          <w:color w:val="0070C0"/>
        </w:rPr>
        <w:t xml:space="preserve"> of the disruption created by such </w:t>
      </w:r>
      <w:r w:rsidR="004B47A4" w:rsidRPr="002E5648">
        <w:rPr>
          <w:i/>
          <w:color w:val="0070C0"/>
        </w:rPr>
        <w:lastRenderedPageBreak/>
        <w:t xml:space="preserve">technologies is great enough to require a specific set of standards.  It will fundamentally change the ‘way of working’ and </w:t>
      </w:r>
      <w:proofErr w:type="gramStart"/>
      <w:r w:rsidR="004B47A4" w:rsidRPr="002E5648">
        <w:rPr>
          <w:i/>
          <w:color w:val="0070C0"/>
        </w:rPr>
        <w:t>cannot be left</w:t>
      </w:r>
      <w:proofErr w:type="gramEnd"/>
      <w:r w:rsidR="004B47A4" w:rsidRPr="002E5648">
        <w:rPr>
          <w:i/>
          <w:color w:val="0070C0"/>
        </w:rPr>
        <w:t xml:space="preserve"> as an area that is subsumed within current standards.  The need to work in partnership with health care consumers via technology, undertake client assessment with only visual and auditory cues, threats posed by breaches in cybersecurity, and changes to practice that will results from ongoing integration of robotics and surveillance technology are examples.  </w:t>
      </w:r>
    </w:p>
    <w:p w:rsidR="004B47A4" w:rsidRPr="002E5648" w:rsidRDefault="004B47A4" w:rsidP="004B47A4">
      <w:pPr>
        <w:rPr>
          <w:i/>
          <w:color w:val="0070C0"/>
        </w:rPr>
      </w:pPr>
      <w:r w:rsidRPr="002E5648">
        <w:rPr>
          <w:i/>
          <w:color w:val="0070C0"/>
        </w:rPr>
        <w:t>The domains suggested by</w:t>
      </w:r>
      <w:r w:rsidR="00BB5917" w:rsidRPr="002E5648">
        <w:rPr>
          <w:i/>
          <w:color w:val="0070C0"/>
        </w:rPr>
        <w:t xml:space="preserve"> Nursing Informatics Australia </w:t>
      </w:r>
      <w:r w:rsidRPr="002E5648">
        <w:rPr>
          <w:i/>
          <w:color w:val="0070C0"/>
        </w:rPr>
        <w:t>“computer literacy; information literacy and information management” would form a sound foundation for such standards. This information could</w:t>
      </w:r>
      <w:r w:rsidR="00BB5917" w:rsidRPr="002E5648">
        <w:rPr>
          <w:i/>
          <w:color w:val="0070C0"/>
        </w:rPr>
        <w:t xml:space="preserve"> be</w:t>
      </w:r>
      <w:r w:rsidRPr="002E5648">
        <w:rPr>
          <w:i/>
          <w:color w:val="0070C0"/>
        </w:rPr>
        <w:t xml:space="preserve"> included as an explanatory note for sta</w:t>
      </w:r>
      <w:r w:rsidR="002E5648">
        <w:rPr>
          <w:i/>
          <w:color w:val="0070C0"/>
        </w:rPr>
        <w:t>ndard 3.</w:t>
      </w:r>
      <w:r w:rsidRPr="002E5648">
        <w:rPr>
          <w:i/>
          <w:color w:val="0070C0"/>
        </w:rPr>
        <w:t xml:space="preserve">2 </w:t>
      </w:r>
      <w:r w:rsidR="00BB5917" w:rsidRPr="002E5648">
        <w:rPr>
          <w:i/>
          <w:color w:val="0070C0"/>
        </w:rPr>
        <w:t>“</w:t>
      </w:r>
      <w:r w:rsidRPr="002E5648">
        <w:rPr>
          <w:i/>
          <w:color w:val="0070C0"/>
        </w:rPr>
        <w:t>Program content reflects contemporary practices in health and education and responds to emerging trends including health informatics and digital health technologies and is based on research and other forms of evidence</w:t>
      </w:r>
      <w:r w:rsidR="00BB5917" w:rsidRPr="002E5648">
        <w:rPr>
          <w:i/>
          <w:color w:val="0070C0"/>
        </w:rPr>
        <w:t>”.</w:t>
      </w:r>
    </w:p>
    <w:p w:rsidR="004B47A4" w:rsidRDefault="004B47A4" w:rsidP="004B47A4">
      <w:pPr>
        <w:pStyle w:val="Default"/>
        <w:rPr>
          <w:b/>
          <w:bCs/>
          <w:color w:val="auto"/>
          <w:sz w:val="28"/>
          <w:szCs w:val="28"/>
        </w:rPr>
      </w:pPr>
    </w:p>
    <w:p w:rsidR="004B47A4" w:rsidRDefault="004B47A4" w:rsidP="004B47A4">
      <w:pPr>
        <w:pStyle w:val="Default"/>
        <w:rPr>
          <w:color w:val="auto"/>
          <w:sz w:val="28"/>
          <w:szCs w:val="28"/>
        </w:rPr>
      </w:pPr>
      <w:r>
        <w:rPr>
          <w:b/>
          <w:bCs/>
          <w:color w:val="auto"/>
          <w:sz w:val="28"/>
          <w:szCs w:val="28"/>
        </w:rPr>
        <w:t xml:space="preserve">Quality professional experience </w:t>
      </w:r>
    </w:p>
    <w:p w:rsidR="004B47A4" w:rsidRDefault="004B47A4" w:rsidP="004B47A4">
      <w:pPr>
        <w:pStyle w:val="Default"/>
        <w:rPr>
          <w:color w:val="auto"/>
          <w:sz w:val="22"/>
          <w:szCs w:val="22"/>
        </w:rPr>
      </w:pPr>
      <w:r>
        <w:rPr>
          <w:b/>
          <w:bCs/>
          <w:color w:val="auto"/>
          <w:sz w:val="22"/>
          <w:szCs w:val="22"/>
        </w:rPr>
        <w:t xml:space="preserve">Question 9 </w:t>
      </w:r>
    </w:p>
    <w:p w:rsidR="004B47A4" w:rsidRDefault="004B47A4" w:rsidP="004B47A4">
      <w:pPr>
        <w:pStyle w:val="Default"/>
        <w:rPr>
          <w:color w:val="auto"/>
          <w:sz w:val="22"/>
          <w:szCs w:val="22"/>
        </w:rPr>
      </w:pPr>
      <w:r>
        <w:rPr>
          <w:color w:val="auto"/>
          <w:sz w:val="22"/>
          <w:szCs w:val="22"/>
        </w:rPr>
        <w:t xml:space="preserve">Do the draft standards capture the learning outcomes required to ensure quality professional learning experiences in entry-to-practice nursing programs? </w:t>
      </w:r>
    </w:p>
    <w:p w:rsidR="004B47A4" w:rsidRDefault="004B47A4" w:rsidP="004B47A4">
      <w:pPr>
        <w:pStyle w:val="Default"/>
        <w:rPr>
          <w:color w:val="auto"/>
          <w:sz w:val="22"/>
          <w:szCs w:val="22"/>
        </w:rPr>
      </w:pPr>
    </w:p>
    <w:p w:rsidR="004B47A4" w:rsidRPr="002E5648" w:rsidRDefault="00BB5917" w:rsidP="004B47A4">
      <w:pPr>
        <w:rPr>
          <w:i/>
          <w:color w:val="0070C0"/>
        </w:rPr>
      </w:pPr>
      <w:r w:rsidRPr="002E5648">
        <w:rPr>
          <w:i/>
          <w:color w:val="0070C0"/>
        </w:rPr>
        <w:t xml:space="preserve">The standards are currently </w:t>
      </w:r>
      <w:r w:rsidR="004B47A4" w:rsidRPr="002E5648">
        <w:rPr>
          <w:i/>
          <w:color w:val="0070C0"/>
        </w:rPr>
        <w:t>open to interpretation. For example “appropriat</w:t>
      </w:r>
      <w:r w:rsidR="002E5648" w:rsidRPr="002E5648">
        <w:rPr>
          <w:i/>
          <w:color w:val="0070C0"/>
        </w:rPr>
        <w:t>ely qualified and experienced</w:t>
      </w:r>
      <w:proofErr w:type="gramStart"/>
      <w:r w:rsidR="002E5648" w:rsidRPr="002E5648">
        <w:rPr>
          <w:i/>
          <w:color w:val="0070C0"/>
        </w:rPr>
        <w:t xml:space="preserve">” </w:t>
      </w:r>
      <w:r w:rsidR="004B47A4" w:rsidRPr="002E5648">
        <w:rPr>
          <w:i/>
          <w:color w:val="0070C0"/>
        </w:rPr>
        <w:t xml:space="preserve"> in</w:t>
      </w:r>
      <w:proofErr w:type="gramEnd"/>
      <w:r w:rsidR="004B47A4" w:rsidRPr="002E5648">
        <w:rPr>
          <w:i/>
          <w:color w:val="0070C0"/>
        </w:rPr>
        <w:t xml:space="preserve"> 1.6) or “are suitably qualified” (in 3.11)  or “ Appropriate resources are provided” (in 4.7). This unstructured approach facilitates ‘gaming’ of clinical experiences.  Students are placed in environments that have very loose affiliations to the clinical experiences being sought </w:t>
      </w:r>
      <w:proofErr w:type="gramStart"/>
      <w:r w:rsidR="004B47A4" w:rsidRPr="002E5648">
        <w:rPr>
          <w:i/>
          <w:color w:val="0070C0"/>
        </w:rPr>
        <w:t>( for</w:t>
      </w:r>
      <w:proofErr w:type="gramEnd"/>
      <w:r w:rsidR="004B47A4" w:rsidRPr="002E5648">
        <w:rPr>
          <w:i/>
          <w:color w:val="0070C0"/>
        </w:rPr>
        <w:t xml:space="preserve"> example outpatient depart</w:t>
      </w:r>
      <w:r w:rsidRPr="002E5648">
        <w:rPr>
          <w:i/>
          <w:color w:val="0070C0"/>
        </w:rPr>
        <w:t>ments for community experience).  T</w:t>
      </w:r>
      <w:r w:rsidR="004B47A4" w:rsidRPr="002E5648">
        <w:rPr>
          <w:i/>
          <w:color w:val="0070C0"/>
        </w:rPr>
        <w:t>hey are supervised by an ever inc</w:t>
      </w:r>
      <w:r w:rsidR="002E5648" w:rsidRPr="002E5648">
        <w:rPr>
          <w:i/>
          <w:color w:val="0070C0"/>
        </w:rPr>
        <w:t>reasing array of facilitators (</w:t>
      </w:r>
      <w:r w:rsidR="004B47A4" w:rsidRPr="002E5648">
        <w:rPr>
          <w:i/>
          <w:color w:val="0070C0"/>
        </w:rPr>
        <w:t xml:space="preserve">for example RNs delegating supervision to ENs and nursing assistants), and access to resources varies widely (e.g. orientation/induction material, car parking, computer technology that can bypass a firewalls for research needs, and limited access to normal amenities).  The time has come to establish standards required to ensure optimal experience and supervision for students. Formal preceptorship/education course exist, as does research concerning optimal learning environments.  Whilst implementation will always be an issue, the standards regarding student professional experience need to reflect the above and be more directive to remove differing interpretations.   </w:t>
      </w:r>
    </w:p>
    <w:p w:rsidR="004B47A4" w:rsidRDefault="004B47A4" w:rsidP="004B47A4">
      <w:pPr>
        <w:pStyle w:val="Default"/>
        <w:rPr>
          <w:color w:val="auto"/>
          <w:sz w:val="22"/>
          <w:szCs w:val="22"/>
        </w:rPr>
      </w:pPr>
    </w:p>
    <w:p w:rsidR="004B47A4" w:rsidRDefault="004B47A4" w:rsidP="004B47A4">
      <w:pPr>
        <w:pStyle w:val="Default"/>
        <w:rPr>
          <w:color w:val="auto"/>
          <w:sz w:val="22"/>
          <w:szCs w:val="22"/>
        </w:rPr>
      </w:pPr>
      <w:r>
        <w:rPr>
          <w:b/>
          <w:bCs/>
          <w:color w:val="auto"/>
          <w:sz w:val="22"/>
          <w:szCs w:val="22"/>
        </w:rPr>
        <w:t xml:space="preserve">Question 10 </w:t>
      </w:r>
    </w:p>
    <w:p w:rsidR="00B03583" w:rsidRDefault="004B47A4" w:rsidP="004B47A4">
      <w:r>
        <w:t xml:space="preserve">Are there any other issues that </w:t>
      </w:r>
      <w:proofErr w:type="gramStart"/>
      <w:r>
        <w:t>should be considered</w:t>
      </w:r>
      <w:proofErr w:type="gramEnd"/>
      <w:r>
        <w:t>?</w:t>
      </w:r>
    </w:p>
    <w:p w:rsidR="002E5648" w:rsidRPr="002E5648" w:rsidRDefault="002E5648" w:rsidP="004B47A4">
      <w:pPr>
        <w:rPr>
          <w:i/>
          <w:color w:val="0070C0"/>
        </w:rPr>
      </w:pPr>
      <w:r w:rsidRPr="002E5648">
        <w:rPr>
          <w:i/>
          <w:color w:val="0070C0"/>
        </w:rPr>
        <w:t>No</w:t>
      </w:r>
      <w:r>
        <w:rPr>
          <w:i/>
          <w:color w:val="0070C0"/>
        </w:rPr>
        <w:t>.</w:t>
      </w:r>
      <w:bookmarkStart w:id="0" w:name="_GoBack"/>
      <w:bookmarkEnd w:id="0"/>
    </w:p>
    <w:sectPr w:rsidR="002E5648" w:rsidRPr="002E56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4"/>
    <w:rsid w:val="00045F97"/>
    <w:rsid w:val="000C68BB"/>
    <w:rsid w:val="00132999"/>
    <w:rsid w:val="00230ECA"/>
    <w:rsid w:val="00273A00"/>
    <w:rsid w:val="002E5648"/>
    <w:rsid w:val="00303A87"/>
    <w:rsid w:val="003C314D"/>
    <w:rsid w:val="003D231E"/>
    <w:rsid w:val="003E3261"/>
    <w:rsid w:val="00483820"/>
    <w:rsid w:val="004B47A4"/>
    <w:rsid w:val="005179C8"/>
    <w:rsid w:val="005A10BF"/>
    <w:rsid w:val="006C282B"/>
    <w:rsid w:val="007351D1"/>
    <w:rsid w:val="00795EBE"/>
    <w:rsid w:val="009B450F"/>
    <w:rsid w:val="00B01BE3"/>
    <w:rsid w:val="00B03583"/>
    <w:rsid w:val="00B827D4"/>
    <w:rsid w:val="00BB5917"/>
    <w:rsid w:val="00C868F3"/>
    <w:rsid w:val="00CE4697"/>
    <w:rsid w:val="00D93CD8"/>
    <w:rsid w:val="00E067F4"/>
    <w:rsid w:val="00E4528A"/>
    <w:rsid w:val="00E578CF"/>
    <w:rsid w:val="00F55A78"/>
    <w:rsid w:val="00FD5708"/>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BA1C"/>
  <w15:chartTrackingRefBased/>
  <w15:docId w15:val="{642C6C48-2DAA-4514-B385-3EC944C5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7A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MAC_Document_CH" ma:contentTypeID="0x0101000BD7B64B2127B048BB0AF2E339139E9800163CAFEB5C9CB647A1B33F4941B98857" ma:contentTypeVersion="183" ma:contentTypeDescription="Parent document type for ANMAC document content types" ma:contentTypeScope="" ma:versionID="c8806e8d68b1173545c855a521027f89">
  <xsd:schema xmlns:xsd="http://www.w3.org/2001/XMLSchema" xmlns:xs="http://www.w3.org/2001/XMLSchema" xmlns:p="http://schemas.microsoft.com/office/2006/metadata/properties" xmlns:ns2="ebed740b-60d2-4f04-abef-d7d1a5491bc4" xmlns:ns3="a2af0a8c-ee59-4d13-a6de-534343ddbaad" xmlns:ns5="03fa299f-4947-4e5d-adf4-8617b991deab" targetNamespace="http://schemas.microsoft.com/office/2006/metadata/properties" ma:root="true" ma:fieldsID="ac3e81ba4d023424775d8c7325bd3c2f" ns2:_="" ns3:_="" ns5:_="">
    <xsd:import namespace="ebed740b-60d2-4f04-abef-d7d1a5491bc4"/>
    <xsd:import namespace="a2af0a8c-ee59-4d13-a6de-534343ddbaad"/>
    <xsd:import namespace="03fa299f-4947-4e5d-adf4-8617b991deab"/>
    <xsd:element name="properties">
      <xsd:complexType>
        <xsd:sequence>
          <xsd:element name="documentManagement">
            <xsd:complexType>
              <xsd:all>
                <xsd:element ref="ns3:Year" minOccurs="0"/>
                <xsd:element ref="ns5:TaxKeywordTaxHTField" minOccurs="0"/>
                <xsd:element ref="ns5:TaxCatchAllLabel" minOccurs="0"/>
                <xsd:element ref="ns5:TaxCatchAll" minOccurs="0"/>
                <xsd:element ref="ns5:l12e2ea49ed54c6b9abe0cc13ac0de39" minOccurs="0"/>
                <xsd:element ref="ns2:pf92d39addf6493d87487bfe5a30359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d740b-60d2-4f04-abef-d7d1a5491bc4" elementFormDefault="qualified">
    <xsd:import namespace="http://schemas.microsoft.com/office/2006/documentManagement/types"/>
    <xsd:import namespace="http://schemas.microsoft.com/office/infopath/2007/PartnerControls"/>
    <xsd:element name="pf92d39addf6493d87487bfe5a30359e" ma:index="15" nillable="true" ma:taxonomy="true" ma:internalName="pf92d39addf6493d87487bfe5a30359e" ma:taxonomyFieldName="Standard" ma:displayName="Standard" ma:default="" ma:fieldId="{9f92d39a-ddf6-493d-8748-7bfe5a30359e}" ma:sspId="6b5b1dee-a446-45c1-a341-ca473059de5e" ma:termSetId="2d53f6b2-6c04-4c38-87eb-9a66c384a5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af0a8c-ee59-4d13-a6de-534343ddbaad" elementFormDefault="qualified">
    <xsd:import namespace="http://schemas.microsoft.com/office/2006/documentManagement/types"/>
    <xsd:import namespace="http://schemas.microsoft.com/office/infopath/2007/PartnerControls"/>
    <xsd:element name="Year" ma:index="3" nillable="true" ma:displayName="Year" ma:description="Year of publication" ma:internalName="Year">
      <xsd:simpleType>
        <xsd:restriction base="dms:Text">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a299f-4947-4e5d-adf4-8617b991de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readOnly="false" ma:fieldId="{23f27201-bee3-471e-b2e7-b64fd8b7ca38}" ma:taxonomyMulti="true" ma:sspId="6b5b1dee-a446-45c1-a341-ca473059de5e" ma:termSetId="00000000-0000-0000-0000-000000000000" ma:anchorId="00000000-0000-0000-0000-000000000000" ma:open="true" ma:isKeyword="true">
      <xsd:complexType>
        <xsd:sequence>
          <xsd:element ref="pc:Terms" minOccurs="0" maxOccurs="1"/>
        </xsd:sequence>
      </xsd:complexType>
    </xsd:element>
    <xsd:element name="TaxCatchAllLabel" ma:index="10" nillable="true" ma:displayName="Taxonomy Catch All Column1" ma:hidden="true" ma:list="{d3471135-9ee1-42cd-a70c-724e5925d901}" ma:internalName="TaxCatchAllLabel" ma:readOnly="true" ma:showField="CatchAllDataLabel"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TaxCatchAll" ma:index="11" nillable="true" ma:displayName="Taxonomy Catch All Column" ma:hidden="true" ma:list="{d3471135-9ee1-42cd-a70c-724e5925d901}" ma:internalName="TaxCatchAll" ma:readOnly="false" ma:showField="CatchAllData"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l12e2ea49ed54c6b9abe0cc13ac0de39" ma:index="13" nillable="true" ma:taxonomy="true" ma:internalName="l12e2ea49ed54c6b9abe0cc13ac0de39" ma:taxonomyFieldName="ANMACdept" ma:displayName="ANMAC Department" ma:readOnly="false" ma:default="" ma:fieldId="{512e2ea4-9ed5-4c6b-9abe-0cc13ac0de39}" ma:sspId="6b5b1dee-a446-45c1-a341-ca473059de5e" ma:termSetId="46670c05-0856-41a1-9e04-eb6b8477cd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6b5b1dee-a446-45c1-a341-ca473059de5e" ContentTypeId="0x0101000BD7B64B2127B048BB0AF2E339139E9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Year xmlns="a2af0a8c-ee59-4d13-a6de-534343ddbaad" xsi:nil="true"/>
    <TaxCatchAll xmlns="03fa299f-4947-4e5d-adf4-8617b991deab">
      <Value>1525</Value>
      <Value>1529</Value>
      <Value>1333</Value>
      <Value>77</Value>
    </TaxCatchAll>
    <l12e2ea49ed54c6b9abe0cc13ac0de39 xmlns="03fa299f-4947-4e5d-adf4-8617b991deab">
      <Terms xmlns="http://schemas.microsoft.com/office/infopath/2007/PartnerControls"/>
    </l12e2ea49ed54c6b9abe0cc13ac0de39>
    <pf92d39addf6493d87487bfe5a30359e xmlns="ebed740b-60d2-4f04-abef-d7d1a5491bc4">
      <Terms xmlns="http://schemas.microsoft.com/office/infopath/2007/PartnerControls">
        <TermInfo xmlns="http://schemas.microsoft.com/office/infopath/2007/PartnerControls">
          <TermName xmlns="http://schemas.microsoft.com/office/infopath/2007/PartnerControls">Registered Nurse</TermName>
          <TermId xmlns="http://schemas.microsoft.com/office/infopath/2007/PartnerControls">32ea56d3-2fa0-447d-8d30-427a75bce2b7</TermId>
        </TermInfo>
      </Terms>
    </pf92d39addf6493d87487bfe5a30359e>
    <TaxKeywordTaxHTField xmlns="03fa299f-4947-4e5d-adf4-8617b991deab">
      <Terms xmlns="http://schemas.microsoft.com/office/infopath/2007/PartnerControls">
        <TermInfo xmlns="http://schemas.microsoft.com/office/infopath/2007/PartnerControls">
          <TermName xmlns="http://schemas.microsoft.com/office/infopath/2007/PartnerControls">feedback</TermName>
          <TermId xmlns="http://schemas.microsoft.com/office/infopath/2007/PartnerControls">542d4ec3-ce44-4645-a283-d154a44c9b3b</TermId>
        </TermInfo>
        <TermInfo xmlns="http://schemas.microsoft.com/office/infopath/2007/PartnerControls">
          <TermName xmlns="http://schemas.microsoft.com/office/infopath/2007/PartnerControls">consultation 2</TermName>
          <TermId xmlns="http://schemas.microsoft.com/office/infopath/2007/PartnerControls">d9ffdb14-9d0e-49a2-867c-6ed2a0d24e53</TermId>
        </TermInfo>
        <TermInfo xmlns="http://schemas.microsoft.com/office/infopath/2007/PartnerControls">
          <TermName xmlns="http://schemas.microsoft.com/office/infopath/2007/PartnerControls">Submission</TermName>
          <TermId xmlns="http://schemas.microsoft.com/office/infopath/2007/PartnerControls">3ee37594-73bd-4d01-b056-2d6c8ad83c1c</TermId>
        </TermInfo>
      </Terms>
    </TaxKeywordTaxHTField>
    <_dlc_DocId xmlns="a2af0a8c-ee59-4d13-a6de-534343ddbaad">TEDUEZRH6XR7-1372547165-285</_dlc_DocId>
    <_dlc_DocIdUrl xmlns="a2af0a8c-ee59-4d13-a6de-534343ddbaad">
      <Url>https://anmac2.sharepoint.com/sites/sharepoint2/Accreditation/_layouts/15/DocIdRedir.aspx?ID=TEDUEZRH6XR7-1372547165-285</Url>
      <Description>TEDUEZRH6XR7-1372547165-285</Description>
    </_dlc_DocIdUrl>
  </documentManagement>
</p:properties>
</file>

<file path=customXml/itemProps1.xml><?xml version="1.0" encoding="utf-8"?>
<ds:datastoreItem xmlns:ds="http://schemas.openxmlformats.org/officeDocument/2006/customXml" ds:itemID="{31B22E59-AC9E-446B-B1A8-2C3AC3FDC24D}"/>
</file>

<file path=customXml/itemProps2.xml><?xml version="1.0" encoding="utf-8"?>
<ds:datastoreItem xmlns:ds="http://schemas.openxmlformats.org/officeDocument/2006/customXml" ds:itemID="{B432263F-1BE2-4E0F-8BCB-53F00BEC6368}"/>
</file>

<file path=customXml/itemProps3.xml><?xml version="1.0" encoding="utf-8"?>
<ds:datastoreItem xmlns:ds="http://schemas.openxmlformats.org/officeDocument/2006/customXml" ds:itemID="{7F1AF0F1-EA58-4CC9-A064-AA17AFDD22EA}"/>
</file>

<file path=customXml/itemProps4.xml><?xml version="1.0" encoding="utf-8"?>
<ds:datastoreItem xmlns:ds="http://schemas.openxmlformats.org/officeDocument/2006/customXml" ds:itemID="{D1A039D1-26E0-453D-991F-AD2EEB73EFFD}"/>
</file>

<file path=customXml/itemProps5.xml><?xml version="1.0" encoding="utf-8"?>
<ds:datastoreItem xmlns:ds="http://schemas.openxmlformats.org/officeDocument/2006/customXml" ds:itemID="{F4B15A3D-5723-49BB-9488-B892C89C2C83}"/>
</file>

<file path=docProps/app.xml><?xml version="1.0" encoding="utf-8"?>
<Properties xmlns="http://schemas.openxmlformats.org/officeDocument/2006/extended-properties" xmlns:vt="http://schemas.openxmlformats.org/officeDocument/2006/docPropsVTypes">
  <Template>Normal</Template>
  <TotalTime>1</TotalTime>
  <Pages>4</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Trobe university submission consultation 2</dc:title>
  <dc:subject/>
  <dc:creator>Joanne Joyce-McCoach</dc:creator>
  <cp:keywords> Submission; consultation 2;  feedback</cp:keywords>
  <dc:description/>
  <cp:lastModifiedBy>Joanne Joyce-McCoach</cp:lastModifiedBy>
  <cp:revision>2</cp:revision>
  <dcterms:created xsi:type="dcterms:W3CDTF">2018-07-29T04:55:00Z</dcterms:created>
  <dcterms:modified xsi:type="dcterms:W3CDTF">2018-07-29T04:55:00Z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0x0101000BD7B64B2127B048BB0AF2E339139E9800163CAFEB5C9CB647A1B33F4941B98857</vt:lpwstr>
  </property>
  <property fmtid="{D5CDD505-2E9C-101B-9397-08002B2CF9AE}" pid="3" name="_dlc_DocIdItemGuid">
    <vt:lpwstr>a6cadbd1-c53f-4a71-826a-26c1b16e4f7a</vt:lpwstr>
  </property>
  <property fmtid="{D5CDD505-2E9C-101B-9397-08002B2CF9AE}" pid="4" name="TaxKeyword">
    <vt:lpwstr>1525;#feedback|542d4ec3-ce44-4645-a283-d154a44c9b3b;#1529;#consultation 2|d9ffdb14-9d0e-49a2-867c-6ed2a0d24e53;#1333;#Submission|3ee37594-73bd-4d01-b056-2d6c8ad83c1c</vt:lpwstr>
  </property>
  <property fmtid="{D5CDD505-2E9C-101B-9397-08002B2CF9AE}" pid="5" name="ANMACdept">
    <vt:lpwstr/>
  </property>
  <property fmtid="{D5CDD505-2E9C-101B-9397-08002B2CF9AE}" pid="6" name="Standard">
    <vt:lpwstr>77;#Registered Nurse|32ea56d3-2fa0-447d-8d30-427a75bce2b7</vt:lpwstr>
  </property>
</Properties>
</file>